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30F1" w14:textId="4F030185" w:rsidR="00D05DC9" w:rsidRDefault="001F3113" w:rsidP="00D81FE9">
      <w:pPr>
        <w:pStyle w:val="JobTitle"/>
        <w:ind w:right="774"/>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30E9867A" w:rsidRPr="51719A25">
        <w:rPr>
          <w:sz w:val="32"/>
          <w:szCs w:val="32"/>
        </w:rPr>
        <w:t>Job Title</w:t>
      </w:r>
      <w:r w:rsidR="49A15F79" w:rsidRPr="51719A25">
        <w:rPr>
          <w:sz w:val="32"/>
          <w:szCs w:val="32"/>
        </w:rPr>
        <w:t xml:space="preserve">     </w:t>
      </w:r>
      <w:r w:rsidR="00A969A0">
        <w:rPr>
          <w:sz w:val="32"/>
          <w:szCs w:val="32"/>
        </w:rPr>
        <w:t xml:space="preserve">Senior Social Worker Permanency Support </w:t>
      </w:r>
      <w:r w:rsidR="49A15F79" w:rsidRPr="51719A25">
        <w:rPr>
          <w:sz w:val="32"/>
          <w:szCs w:val="32"/>
        </w:rPr>
        <w:t xml:space="preserve">                                         </w:t>
      </w:r>
    </w:p>
    <w:p w14:paraId="18320E88" w14:textId="53D0C25E" w:rsidR="00816AA1" w:rsidRDefault="49A15F79" w:rsidP="00A969A0">
      <w:pPr>
        <w:pStyle w:val="JobTitle"/>
        <w:tabs>
          <w:tab w:val="left" w:pos="2120"/>
        </w:tabs>
        <w:ind w:right="774"/>
        <w:rPr>
          <w:sz w:val="32"/>
          <w:szCs w:val="32"/>
        </w:rPr>
      </w:pPr>
      <w:r w:rsidRPr="3337517E">
        <w:rPr>
          <w:sz w:val="32"/>
          <w:szCs w:val="32"/>
        </w:rPr>
        <w:t>Grade</w:t>
      </w:r>
      <w:r w:rsidR="41D18CB4" w:rsidRPr="3337517E">
        <w:rPr>
          <w:sz w:val="32"/>
          <w:szCs w:val="32"/>
        </w:rPr>
        <w:t xml:space="preserve"> </w:t>
      </w:r>
      <w:r w:rsidR="00A969A0">
        <w:rPr>
          <w:sz w:val="32"/>
          <w:szCs w:val="32"/>
        </w:rPr>
        <w:tab/>
        <w:t>10</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2667FC5B"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r w:rsidR="00A969A0" w:rsidRPr="18B353DE">
        <w:rPr>
          <w:rFonts w:ascii="Segoe UI" w:eastAsia="Segoe UI" w:hAnsi="Segoe UI" w:cs="Segoe UI"/>
          <w:color w:val="323130"/>
          <w:sz w:val="27"/>
          <w:szCs w:val="27"/>
        </w:rPr>
        <w:t>ambitious,</w:t>
      </w:r>
      <w:r w:rsidRPr="18B353DE">
        <w:rPr>
          <w:rFonts w:ascii="Segoe UI" w:eastAsia="Segoe UI" w:hAnsi="Segoe UI" w:cs="Segoe UI"/>
          <w:color w:val="323130"/>
          <w:sz w:val="27"/>
          <w:szCs w:val="27"/>
        </w:rPr>
        <w:t xml:space="preserve">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075EC069" w14:textId="77777777" w:rsidR="00A969A0" w:rsidRDefault="00A969A0" w:rsidP="00D81FE9">
      <w:pPr>
        <w:pStyle w:val="Body-Bold"/>
        <w:ind w:right="774"/>
      </w:pPr>
    </w:p>
    <w:p w14:paraId="7C9A647E" w14:textId="6C334EB1"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00D81FE9">
      <w:pPr>
        <w:pStyle w:val="Bullets"/>
        <w:numPr>
          <w:ilvl w:val="0"/>
          <w:numId w:val="0"/>
        </w:numPr>
        <w:ind w:right="774"/>
      </w:pP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24B9CF9D" w14:textId="357E5443" w:rsidR="00A969A0" w:rsidRPr="00A969A0" w:rsidRDefault="00A969A0" w:rsidP="00A969A0">
      <w:pPr>
        <w:jc w:val="both"/>
        <w:rPr>
          <w:rFonts w:ascii="Verdana" w:eastAsia="Gill Sans MT" w:hAnsi="Verdana" w:cs="Aldhabi"/>
          <w:sz w:val="24"/>
          <w:szCs w:val="24"/>
        </w:rPr>
      </w:pPr>
      <w:r w:rsidRPr="00A969A0">
        <w:rPr>
          <w:rFonts w:ascii="Verdana" w:eastAsia="Gill Sans MT" w:hAnsi="Verdana" w:cs="Aldhabi"/>
          <w:sz w:val="24"/>
          <w:szCs w:val="24"/>
        </w:rPr>
        <w:lastRenderedPageBreak/>
        <w:t>Together4Children are 4 Local Authorities, Staffordshire County Council, Stoke-on-Trent City Council, Shropshire Council and Telford &amp; Wrekin Council who have come together in an innovative and forward-thinking Partnership.</w:t>
      </w:r>
    </w:p>
    <w:p w14:paraId="075E8531" w14:textId="77777777" w:rsidR="00A969A0" w:rsidRPr="00A969A0" w:rsidRDefault="00A969A0" w:rsidP="00A969A0">
      <w:pPr>
        <w:jc w:val="both"/>
        <w:rPr>
          <w:rFonts w:ascii="Verdana" w:eastAsia="Gill Sans MT" w:hAnsi="Verdana" w:cs="Aldhabi"/>
          <w:sz w:val="24"/>
          <w:szCs w:val="24"/>
        </w:rPr>
      </w:pPr>
    </w:p>
    <w:p w14:paraId="50286365" w14:textId="77777777" w:rsidR="00A969A0" w:rsidRPr="00A969A0" w:rsidRDefault="00A969A0" w:rsidP="00A969A0">
      <w:pPr>
        <w:jc w:val="both"/>
        <w:rPr>
          <w:rFonts w:ascii="Verdana" w:eastAsia="Gill Sans MT" w:hAnsi="Verdana" w:cs="Aldhabi"/>
          <w:sz w:val="24"/>
          <w:szCs w:val="24"/>
        </w:rPr>
      </w:pPr>
      <w:r w:rsidRPr="00A969A0">
        <w:rPr>
          <w:rFonts w:ascii="Verdana" w:eastAsia="Gill Sans MT" w:hAnsi="Verdana" w:cs="Aldhabi"/>
          <w:sz w:val="24"/>
          <w:szCs w:val="24"/>
        </w:rPr>
        <w:t xml:space="preserve">We are working together to improve outcomes for those children who enter care and are not able to return to their families of origin. We aim </w:t>
      </w:r>
      <w:bookmarkStart w:id="0" w:name="_Hlk20326976"/>
      <w:r w:rsidRPr="00A969A0">
        <w:rPr>
          <w:rFonts w:ascii="Verdana" w:eastAsia="Gill Sans MT" w:hAnsi="Verdana" w:cs="Aldhabi"/>
          <w:sz w:val="24"/>
          <w:szCs w:val="24"/>
        </w:rPr>
        <w:t xml:space="preserve">to ensure that our children achieve emotional, </w:t>
      </w:r>
      <w:proofErr w:type="gramStart"/>
      <w:r w:rsidRPr="00A969A0">
        <w:rPr>
          <w:rFonts w:ascii="Verdana" w:eastAsia="Gill Sans MT" w:hAnsi="Verdana" w:cs="Aldhabi"/>
          <w:sz w:val="24"/>
          <w:szCs w:val="24"/>
        </w:rPr>
        <w:t>physical</w:t>
      </w:r>
      <w:proofErr w:type="gramEnd"/>
      <w:r w:rsidRPr="00A969A0">
        <w:rPr>
          <w:rFonts w:ascii="Verdana" w:eastAsia="Gill Sans MT" w:hAnsi="Verdana" w:cs="Aldhabi"/>
          <w:sz w:val="24"/>
          <w:szCs w:val="24"/>
        </w:rPr>
        <w:t xml:space="preserve"> and legal permanence; growing up in loving homes with adults who provide them with a strong sense of security, continuity, commitment and identity.</w:t>
      </w:r>
      <w:bookmarkEnd w:id="0"/>
    </w:p>
    <w:p w14:paraId="3879F52E" w14:textId="77777777" w:rsidR="00A969A0" w:rsidRPr="00A969A0" w:rsidRDefault="00A969A0" w:rsidP="00A969A0">
      <w:pPr>
        <w:jc w:val="both"/>
        <w:rPr>
          <w:rFonts w:ascii="Verdana" w:eastAsia="Gill Sans MT" w:hAnsi="Verdana" w:cs="Aldhabi"/>
          <w:sz w:val="24"/>
          <w:szCs w:val="24"/>
        </w:rPr>
      </w:pPr>
    </w:p>
    <w:p w14:paraId="39BFB73C" w14:textId="77777777" w:rsidR="00A969A0" w:rsidRPr="00A969A0" w:rsidRDefault="00A969A0" w:rsidP="00A969A0">
      <w:pPr>
        <w:jc w:val="both"/>
        <w:rPr>
          <w:rFonts w:ascii="Verdana" w:eastAsia="Gill Sans MT" w:hAnsi="Verdana" w:cs="Aldhabi"/>
          <w:sz w:val="24"/>
          <w:szCs w:val="24"/>
        </w:rPr>
      </w:pPr>
      <w:r w:rsidRPr="00A969A0">
        <w:rPr>
          <w:rFonts w:ascii="Verdana" w:eastAsia="Gill Sans MT" w:hAnsi="Verdana" w:cs="Aldhabi"/>
          <w:sz w:val="24"/>
          <w:szCs w:val="24"/>
        </w:rPr>
        <w:t>Together4Children operates through a hub and spoke model enabling Local Authorities to benefit from core central functions and networked regional delivery, whilst retaining direct service delivery functions within their own borders. This ensures the Partnership reflects the local context, adapted to meet the needs of local children and families, and maintains clear links to local Children &amp; Families Services.</w:t>
      </w:r>
    </w:p>
    <w:p w14:paraId="0AE54441" w14:textId="77777777" w:rsidR="00A969A0" w:rsidRPr="00A969A0" w:rsidRDefault="00A969A0" w:rsidP="00A969A0">
      <w:pPr>
        <w:rPr>
          <w:rFonts w:ascii="Verdana" w:eastAsia="Gill Sans MT" w:hAnsi="Verdana" w:cs="Aldhabi"/>
          <w:sz w:val="24"/>
          <w:szCs w:val="24"/>
        </w:rPr>
      </w:pPr>
    </w:p>
    <w:p w14:paraId="187821B8" w14:textId="77777777" w:rsidR="00A969A0" w:rsidRPr="00A969A0" w:rsidRDefault="00A969A0" w:rsidP="00A969A0">
      <w:pPr>
        <w:jc w:val="both"/>
        <w:rPr>
          <w:rFonts w:ascii="Verdana" w:eastAsia="Gill Sans MT" w:hAnsi="Verdana" w:cs="Aldhabi"/>
          <w:sz w:val="24"/>
          <w:szCs w:val="24"/>
        </w:rPr>
      </w:pPr>
      <w:r w:rsidRPr="00A969A0">
        <w:rPr>
          <w:rFonts w:ascii="Verdana" w:eastAsia="Gill Sans MT" w:hAnsi="Verdana" w:cs="Aldhabi"/>
          <w:sz w:val="24"/>
          <w:szCs w:val="24"/>
        </w:rPr>
        <w:t>The Together4Children Partnership provides the Regional Adoption Agency for the partner Local Authorities. By working together, we aim to:</w:t>
      </w:r>
    </w:p>
    <w:p w14:paraId="53B25AD9" w14:textId="77777777" w:rsidR="00A969A0" w:rsidRPr="00A969A0" w:rsidRDefault="00A969A0" w:rsidP="00A969A0">
      <w:pPr>
        <w:pStyle w:val="ListParagraph"/>
        <w:numPr>
          <w:ilvl w:val="0"/>
          <w:numId w:val="17"/>
        </w:numPr>
        <w:spacing w:after="160" w:line="256" w:lineRule="auto"/>
        <w:jc w:val="both"/>
        <w:rPr>
          <w:rFonts w:ascii="Verdana" w:eastAsia="Gill Sans MT" w:hAnsi="Verdana" w:cs="Aldhabi"/>
          <w:sz w:val="24"/>
          <w:szCs w:val="24"/>
        </w:rPr>
      </w:pPr>
      <w:r w:rsidRPr="00A969A0">
        <w:rPr>
          <w:rFonts w:ascii="Verdana" w:eastAsia="Gill Sans MT" w:hAnsi="Verdana" w:cs="Aldhabi"/>
          <w:sz w:val="24"/>
          <w:szCs w:val="24"/>
        </w:rPr>
        <w:t>Make best use of our collective resources to recruit, assess and support prospective adopters and foster carers across the region.</w:t>
      </w:r>
    </w:p>
    <w:p w14:paraId="7C5409D9" w14:textId="77777777" w:rsidR="00A969A0" w:rsidRPr="00A969A0" w:rsidRDefault="00A969A0" w:rsidP="00A969A0">
      <w:pPr>
        <w:pStyle w:val="ListParagraph"/>
        <w:numPr>
          <w:ilvl w:val="0"/>
          <w:numId w:val="17"/>
        </w:numPr>
        <w:spacing w:after="160" w:line="256" w:lineRule="auto"/>
        <w:jc w:val="both"/>
        <w:rPr>
          <w:rFonts w:ascii="Verdana" w:eastAsia="Gill Sans MT" w:hAnsi="Verdana" w:cs="Aldhabi"/>
          <w:sz w:val="24"/>
          <w:szCs w:val="24"/>
        </w:rPr>
      </w:pPr>
      <w:r w:rsidRPr="00A969A0">
        <w:rPr>
          <w:rFonts w:ascii="Verdana" w:eastAsia="Gill Sans MT" w:hAnsi="Verdana" w:cs="Aldhabi"/>
          <w:sz w:val="24"/>
          <w:szCs w:val="24"/>
        </w:rPr>
        <w:t>Improve the quality and speed of matching for children through better planning and by having a wider choice of families.</w:t>
      </w:r>
    </w:p>
    <w:p w14:paraId="127E4C62" w14:textId="1A6545DE" w:rsidR="00A969A0" w:rsidRPr="00A969A0" w:rsidRDefault="00A969A0" w:rsidP="00A969A0">
      <w:pPr>
        <w:pStyle w:val="ListParagraph"/>
        <w:numPr>
          <w:ilvl w:val="0"/>
          <w:numId w:val="17"/>
        </w:numPr>
        <w:spacing w:after="160" w:line="256" w:lineRule="auto"/>
        <w:jc w:val="both"/>
        <w:rPr>
          <w:rFonts w:ascii="Verdana" w:eastAsia="Gill Sans MT" w:hAnsi="Verdana" w:cs="Aldhabi"/>
          <w:sz w:val="24"/>
          <w:szCs w:val="24"/>
        </w:rPr>
      </w:pPr>
      <w:r w:rsidRPr="00A969A0">
        <w:rPr>
          <w:rFonts w:ascii="Verdana" w:eastAsia="Gill Sans MT" w:hAnsi="Verdana" w:cs="Aldhabi"/>
          <w:sz w:val="24"/>
          <w:szCs w:val="24"/>
        </w:rPr>
        <w:t>Provide high quality support to children and their families delivered through a combination of direct provision and effective partnerships.</w:t>
      </w:r>
    </w:p>
    <w:p w14:paraId="1244FA6F" w14:textId="77777777" w:rsidR="00A969A0" w:rsidRPr="00A969A0" w:rsidRDefault="00A969A0" w:rsidP="00A969A0">
      <w:pPr>
        <w:pStyle w:val="ListParagraph"/>
        <w:numPr>
          <w:ilvl w:val="0"/>
          <w:numId w:val="17"/>
        </w:numPr>
        <w:spacing w:after="160" w:line="256" w:lineRule="auto"/>
        <w:jc w:val="both"/>
        <w:rPr>
          <w:rFonts w:ascii="Verdana" w:eastAsia="Gill Sans MT" w:hAnsi="Verdana" w:cs="Aldhabi"/>
          <w:sz w:val="24"/>
          <w:szCs w:val="24"/>
        </w:rPr>
      </w:pPr>
      <w:r w:rsidRPr="00A969A0">
        <w:rPr>
          <w:rFonts w:ascii="Verdana" w:eastAsia="Gill Sans MT" w:hAnsi="Verdana" w:cs="Aldhabi"/>
          <w:sz w:val="24"/>
          <w:szCs w:val="24"/>
        </w:rPr>
        <w:t>Provide all children and their families with the right support at the right time through a consistent permanency support offer available across the region.</w:t>
      </w:r>
    </w:p>
    <w:p w14:paraId="7B483BF4" w14:textId="77777777" w:rsidR="00A969A0" w:rsidRPr="00A969A0" w:rsidRDefault="00A969A0" w:rsidP="00A969A0">
      <w:pPr>
        <w:pStyle w:val="ListParagraph"/>
        <w:numPr>
          <w:ilvl w:val="0"/>
          <w:numId w:val="17"/>
        </w:numPr>
        <w:spacing w:after="0" w:line="240" w:lineRule="auto"/>
        <w:rPr>
          <w:rFonts w:ascii="Verdana" w:eastAsia="Times New Roman" w:hAnsi="Verdana" w:cs="Aldhabi"/>
          <w:sz w:val="24"/>
          <w:szCs w:val="24"/>
        </w:rPr>
      </w:pPr>
      <w:r w:rsidRPr="00A969A0">
        <w:rPr>
          <w:rFonts w:ascii="Verdana" w:eastAsia="Times New Roman" w:hAnsi="Verdana" w:cs="Aldhabi"/>
          <w:sz w:val="24"/>
          <w:szCs w:val="24"/>
        </w:rPr>
        <w:t>Respond to the regulatory requirements in respect of Adoption (including Non-Agency Adoptions and Intercountry Adoption).</w:t>
      </w:r>
    </w:p>
    <w:p w14:paraId="0FFE9AC6" w14:textId="058C748B" w:rsidR="005740B1" w:rsidRPr="00A969A0" w:rsidRDefault="005740B1" w:rsidP="005740B1">
      <w:pPr>
        <w:pStyle w:val="Body-text"/>
        <w:ind w:right="774"/>
        <w:rPr>
          <w:rFonts w:cs="Aldhabi"/>
          <w:b/>
          <w:bCs/>
          <w:color w:val="000000" w:themeColor="text1"/>
        </w:rPr>
      </w:pP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109805E8" w14:textId="77777777" w:rsidR="00A969A0" w:rsidRPr="00A969A0" w:rsidRDefault="00A969A0" w:rsidP="00A969A0">
      <w:pPr>
        <w:jc w:val="both"/>
        <w:rPr>
          <w:rFonts w:ascii="Verdana" w:eastAsia="Gill Sans MT" w:hAnsi="Verdana"/>
          <w:sz w:val="24"/>
          <w:szCs w:val="24"/>
        </w:rPr>
      </w:pPr>
      <w:r w:rsidRPr="00A969A0">
        <w:rPr>
          <w:rFonts w:ascii="Verdana" w:eastAsia="Gill Sans MT" w:hAnsi="Verdana"/>
          <w:sz w:val="24"/>
          <w:szCs w:val="24"/>
        </w:rPr>
        <w:t xml:space="preserve">As a Senior Social Worker (Permanency Support), the postholder is required to undertake a range of tasks in relation to the Adoption System/Permanency Support, as allocated by the Team Manager (Permanency Support). As an </w:t>
      </w:r>
      <w:r w:rsidRPr="00A969A0">
        <w:rPr>
          <w:rFonts w:ascii="Verdana" w:eastAsia="Gill Sans MT" w:hAnsi="Verdana"/>
          <w:sz w:val="24"/>
          <w:szCs w:val="24"/>
        </w:rPr>
        <w:lastRenderedPageBreak/>
        <w:t xml:space="preserve">experienced Senior Social Worker, the postholder is expected to be working towards the level of ability where they can operate self-sufficiently (within normal arrangements for management accountability) in the application of relevant legislation, regulations, policies, procedures, </w:t>
      </w:r>
      <w:proofErr w:type="gramStart"/>
      <w:r w:rsidRPr="00A969A0">
        <w:rPr>
          <w:rFonts w:ascii="Verdana" w:eastAsia="Gill Sans MT" w:hAnsi="Verdana"/>
          <w:sz w:val="24"/>
          <w:szCs w:val="24"/>
        </w:rPr>
        <w:t>guidance</w:t>
      </w:r>
      <w:proofErr w:type="gramEnd"/>
      <w:r w:rsidRPr="00A969A0">
        <w:rPr>
          <w:rFonts w:ascii="Verdana" w:eastAsia="Gill Sans MT" w:hAnsi="Verdana"/>
          <w:sz w:val="24"/>
          <w:szCs w:val="24"/>
        </w:rPr>
        <w:t xml:space="preserve"> and practice. As a Senior Social Worker (Permanency Support), the postholder will be required to manage a more complex caseload.</w:t>
      </w:r>
    </w:p>
    <w:p w14:paraId="256D48C1" w14:textId="77777777" w:rsidR="00A969A0" w:rsidRPr="00A969A0" w:rsidRDefault="00A969A0" w:rsidP="00A969A0">
      <w:pPr>
        <w:jc w:val="both"/>
        <w:rPr>
          <w:rFonts w:ascii="Verdana" w:eastAsia="Gill Sans MT" w:hAnsi="Verdana" w:cs="Arial"/>
          <w:sz w:val="24"/>
          <w:szCs w:val="24"/>
          <w:lang w:eastAsia="en-GB"/>
        </w:rPr>
      </w:pPr>
      <w:r w:rsidRPr="00A969A0">
        <w:rPr>
          <w:rFonts w:ascii="Verdana" w:eastAsia="Gill Sans MT" w:hAnsi="Verdana" w:cs="Arial"/>
          <w:sz w:val="24"/>
          <w:szCs w:val="24"/>
          <w:lang w:eastAsia="en-GB"/>
        </w:rPr>
        <w:t xml:space="preserve">The nature and demands of the postholder’s time are not always predictable and there will be an expectation that work will be required outside normal office hours from time to time, as required by the Partnership. The postholder will need to work flexibly across the regional footprint (including the use of touchdown bases to support agile working) </w:t>
      </w:r>
      <w:proofErr w:type="gramStart"/>
      <w:r w:rsidRPr="00A969A0">
        <w:rPr>
          <w:rFonts w:ascii="Verdana" w:eastAsia="Gill Sans MT" w:hAnsi="Verdana" w:cs="Arial"/>
          <w:sz w:val="24"/>
          <w:szCs w:val="24"/>
          <w:lang w:eastAsia="en-GB"/>
        </w:rPr>
        <w:t>in order to</w:t>
      </w:r>
      <w:proofErr w:type="gramEnd"/>
      <w:r w:rsidRPr="00A969A0">
        <w:rPr>
          <w:rFonts w:ascii="Verdana" w:eastAsia="Gill Sans MT" w:hAnsi="Verdana" w:cs="Arial"/>
          <w:sz w:val="24"/>
          <w:szCs w:val="24"/>
          <w:lang w:eastAsia="en-GB"/>
        </w:rPr>
        <w:t xml:space="preserve"> meet the needs of the Service.</w:t>
      </w:r>
    </w:p>
    <w:p w14:paraId="1FC3286B" w14:textId="77777777" w:rsidR="00816AA1" w:rsidRPr="00816AA1" w:rsidRDefault="00816AA1" w:rsidP="00D81FE9">
      <w:pPr>
        <w:pStyle w:val="Body-Bold"/>
        <w:ind w:right="774"/>
      </w:pPr>
      <w:r w:rsidRPr="00816AA1">
        <w:t>Reporting Relationships</w:t>
      </w:r>
    </w:p>
    <w:p w14:paraId="4A748012" w14:textId="5CBA65B4" w:rsidR="0C09183C" w:rsidRDefault="00816AA1" w:rsidP="00A969A0">
      <w:pPr>
        <w:pStyle w:val="Body-Bold"/>
        <w:ind w:right="774"/>
      </w:pPr>
      <w:r>
        <w:t xml:space="preserve">Responsible to: </w:t>
      </w:r>
      <w:r w:rsidR="00A969A0">
        <w:t xml:space="preserve">Team Manager Permanency Support </w:t>
      </w:r>
    </w:p>
    <w:p w14:paraId="0ADF243F" w14:textId="77777777" w:rsidR="0041456C" w:rsidRPr="00153F0B" w:rsidRDefault="0041456C" w:rsidP="00D81FE9">
      <w:pPr>
        <w:pStyle w:val="Body-Bold"/>
        <w:spacing w:line="240" w:lineRule="auto"/>
        <w:ind w:right="774"/>
      </w:pPr>
      <w:r>
        <w:t xml:space="preserve">Key Accountabilities: </w:t>
      </w:r>
    </w:p>
    <w:p w14:paraId="7D9C5934" w14:textId="77777777" w:rsidR="00A969A0" w:rsidRPr="00A969A0" w:rsidRDefault="00A969A0" w:rsidP="00A969A0">
      <w:pPr>
        <w:numPr>
          <w:ilvl w:val="0"/>
          <w:numId w:val="8"/>
        </w:numPr>
        <w:spacing w:after="0" w:line="240" w:lineRule="auto"/>
        <w:jc w:val="both"/>
        <w:rPr>
          <w:rFonts w:ascii="Verdana" w:eastAsia="Gill Sans MT" w:hAnsi="Verdana"/>
          <w:sz w:val="24"/>
          <w:szCs w:val="24"/>
        </w:rPr>
      </w:pPr>
      <w:r w:rsidRPr="00A969A0">
        <w:rPr>
          <w:rFonts w:ascii="Verdana" w:eastAsia="Gill Sans MT" w:hAnsi="Verdana"/>
          <w:sz w:val="24"/>
          <w:szCs w:val="24"/>
        </w:rPr>
        <w:t xml:space="preserve">As a Senior Social Worker (Permanency Support), undertake a range of tasks in relation to (Permanency Support), as allocated by the Team Manager. This includes holding and managing a full caseload, </w:t>
      </w:r>
      <w:proofErr w:type="spellStart"/>
      <w:r w:rsidRPr="00A969A0">
        <w:rPr>
          <w:rFonts w:ascii="Verdana" w:eastAsia="Gill Sans MT" w:hAnsi="Verdana"/>
          <w:sz w:val="24"/>
          <w:szCs w:val="24"/>
        </w:rPr>
        <w:t>prioritising</w:t>
      </w:r>
      <w:proofErr w:type="spellEnd"/>
      <w:r w:rsidRPr="00A969A0">
        <w:rPr>
          <w:rFonts w:ascii="Verdana" w:eastAsia="Gill Sans MT" w:hAnsi="Verdana"/>
          <w:sz w:val="24"/>
          <w:szCs w:val="24"/>
        </w:rPr>
        <w:t xml:space="preserve"> all work in accordance with appropriate legislation, regulations, guidance, policies, procedures, standing orders and budgets. </w:t>
      </w:r>
      <w:proofErr w:type="gramStart"/>
      <w:r w:rsidRPr="00A969A0">
        <w:rPr>
          <w:rFonts w:ascii="Verdana" w:eastAsia="Gill Sans MT" w:hAnsi="Verdana"/>
          <w:sz w:val="24"/>
          <w:szCs w:val="24"/>
        </w:rPr>
        <w:t>As a Senior Social Worker, this</w:t>
      </w:r>
      <w:proofErr w:type="gramEnd"/>
      <w:r w:rsidRPr="00A969A0">
        <w:rPr>
          <w:rFonts w:ascii="Verdana" w:eastAsia="Gill Sans MT" w:hAnsi="Verdana"/>
          <w:sz w:val="24"/>
          <w:szCs w:val="24"/>
        </w:rPr>
        <w:t xml:space="preserve"> includes taking responsibility for a caseload of complex cases and other duties (as appropriate). </w:t>
      </w:r>
    </w:p>
    <w:p w14:paraId="72171D18" w14:textId="77777777" w:rsidR="00A969A0" w:rsidRPr="00A969A0" w:rsidRDefault="00A969A0" w:rsidP="00A969A0">
      <w:pPr>
        <w:ind w:left="360"/>
        <w:jc w:val="both"/>
        <w:rPr>
          <w:rFonts w:ascii="Verdana" w:eastAsia="Gill Sans MT" w:hAnsi="Verdana"/>
          <w:sz w:val="24"/>
          <w:szCs w:val="24"/>
        </w:rPr>
      </w:pPr>
    </w:p>
    <w:p w14:paraId="7BC40FA3" w14:textId="77777777" w:rsidR="00A969A0" w:rsidRPr="00A969A0" w:rsidRDefault="00A969A0" w:rsidP="00A969A0">
      <w:pPr>
        <w:numPr>
          <w:ilvl w:val="0"/>
          <w:numId w:val="8"/>
        </w:numPr>
        <w:spacing w:after="0" w:line="240" w:lineRule="auto"/>
        <w:jc w:val="both"/>
        <w:rPr>
          <w:rFonts w:ascii="Verdana" w:eastAsia="Gill Sans MT" w:hAnsi="Verdana"/>
          <w:sz w:val="24"/>
          <w:szCs w:val="24"/>
        </w:rPr>
      </w:pPr>
      <w:r w:rsidRPr="00A969A0">
        <w:rPr>
          <w:rFonts w:ascii="Verdana" w:eastAsia="Gill Sans MT" w:hAnsi="Verdana"/>
          <w:sz w:val="24"/>
          <w:szCs w:val="24"/>
        </w:rPr>
        <w:t xml:space="preserve">As a Senior Social Worker (Permanency Support), set the standard for colleagues to follow, supervising the work of other members of the team and actively coaching, </w:t>
      </w:r>
      <w:proofErr w:type="gramStart"/>
      <w:r w:rsidRPr="00A969A0">
        <w:rPr>
          <w:rFonts w:ascii="Verdana" w:eastAsia="Gill Sans MT" w:hAnsi="Verdana"/>
          <w:sz w:val="24"/>
          <w:szCs w:val="24"/>
        </w:rPr>
        <w:t>mentoring</w:t>
      </w:r>
      <w:proofErr w:type="gramEnd"/>
      <w:r w:rsidRPr="00A969A0">
        <w:rPr>
          <w:rFonts w:ascii="Verdana" w:eastAsia="Gill Sans MT" w:hAnsi="Verdana"/>
          <w:sz w:val="24"/>
          <w:szCs w:val="24"/>
        </w:rPr>
        <w:t xml:space="preserve"> and developing them. This includes co-working cases with less experienced/</w:t>
      </w:r>
      <w:proofErr w:type="gramStart"/>
      <w:r w:rsidRPr="00A969A0">
        <w:rPr>
          <w:rFonts w:ascii="Verdana" w:eastAsia="Gill Sans MT" w:hAnsi="Verdana"/>
          <w:sz w:val="24"/>
          <w:szCs w:val="24"/>
        </w:rPr>
        <w:t>none social</w:t>
      </w:r>
      <w:proofErr w:type="gramEnd"/>
      <w:r w:rsidRPr="00A969A0">
        <w:rPr>
          <w:rFonts w:ascii="Verdana" w:eastAsia="Gill Sans MT" w:hAnsi="Verdana"/>
          <w:sz w:val="24"/>
          <w:szCs w:val="24"/>
        </w:rPr>
        <w:t xml:space="preserve"> work qualified members of the team and to take responsibility as part of that process for sharing and developing their learning. This includes direct and group work with children and families.</w:t>
      </w:r>
    </w:p>
    <w:p w14:paraId="2B98CC0A" w14:textId="77777777" w:rsidR="00A969A0" w:rsidRPr="00A969A0" w:rsidRDefault="00A969A0" w:rsidP="00A969A0">
      <w:pPr>
        <w:jc w:val="both"/>
        <w:rPr>
          <w:rFonts w:ascii="Verdana" w:eastAsia="Gill Sans MT" w:hAnsi="Verdana"/>
          <w:sz w:val="24"/>
          <w:szCs w:val="24"/>
        </w:rPr>
      </w:pPr>
    </w:p>
    <w:p w14:paraId="1FD85DCC" w14:textId="77777777" w:rsidR="00A969A0" w:rsidRPr="00A969A0" w:rsidRDefault="00A969A0" w:rsidP="00A969A0">
      <w:pPr>
        <w:numPr>
          <w:ilvl w:val="0"/>
          <w:numId w:val="8"/>
        </w:numPr>
        <w:spacing w:after="0" w:line="240" w:lineRule="auto"/>
        <w:jc w:val="both"/>
        <w:rPr>
          <w:rFonts w:ascii="Verdana" w:eastAsia="Gill Sans MT" w:hAnsi="Verdana"/>
          <w:sz w:val="24"/>
          <w:szCs w:val="24"/>
        </w:rPr>
      </w:pPr>
      <w:r w:rsidRPr="00A969A0">
        <w:rPr>
          <w:rFonts w:ascii="Verdana" w:eastAsia="Gill Sans MT" w:hAnsi="Verdana"/>
          <w:sz w:val="24"/>
          <w:szCs w:val="24"/>
        </w:rPr>
        <w:t xml:space="preserve">As a Senior Social Worker (Permanency Support), review and monitor the provision of Permanency Support, ensuring services are established, are robust and maintained to meet the identified needs of eligible adoptive families. This includes the planning, </w:t>
      </w:r>
      <w:proofErr w:type="spellStart"/>
      <w:proofErr w:type="gramStart"/>
      <w:r w:rsidRPr="00A969A0">
        <w:rPr>
          <w:rFonts w:ascii="Verdana" w:eastAsia="Gill Sans MT" w:hAnsi="Verdana"/>
          <w:sz w:val="24"/>
          <w:szCs w:val="24"/>
        </w:rPr>
        <w:t>organisation</w:t>
      </w:r>
      <w:proofErr w:type="spellEnd"/>
      <w:proofErr w:type="gramEnd"/>
      <w:r w:rsidRPr="00A969A0">
        <w:rPr>
          <w:rFonts w:ascii="Verdana" w:eastAsia="Gill Sans MT" w:hAnsi="Verdana"/>
          <w:sz w:val="24"/>
          <w:szCs w:val="24"/>
        </w:rPr>
        <w:t xml:space="preserve"> and facilitation of Support Groups across the region. </w:t>
      </w:r>
    </w:p>
    <w:p w14:paraId="4A931D7F" w14:textId="77777777" w:rsidR="00A969A0" w:rsidRPr="00A969A0" w:rsidRDefault="00A969A0" w:rsidP="00A969A0">
      <w:pPr>
        <w:jc w:val="both"/>
        <w:rPr>
          <w:rFonts w:ascii="Verdana" w:eastAsia="Gill Sans MT" w:hAnsi="Verdana"/>
          <w:sz w:val="24"/>
          <w:szCs w:val="24"/>
        </w:rPr>
      </w:pPr>
    </w:p>
    <w:p w14:paraId="08DF686F" w14:textId="77777777" w:rsidR="00A969A0" w:rsidRPr="00A969A0" w:rsidRDefault="00A969A0" w:rsidP="00A969A0">
      <w:pPr>
        <w:numPr>
          <w:ilvl w:val="0"/>
          <w:numId w:val="8"/>
        </w:numPr>
        <w:spacing w:after="0" w:line="240" w:lineRule="auto"/>
        <w:jc w:val="both"/>
        <w:rPr>
          <w:rFonts w:ascii="Verdana" w:eastAsia="Gill Sans MT" w:hAnsi="Verdana"/>
          <w:sz w:val="24"/>
          <w:szCs w:val="24"/>
        </w:rPr>
      </w:pPr>
      <w:r w:rsidRPr="00A969A0">
        <w:rPr>
          <w:rFonts w:ascii="Verdana" w:eastAsia="Gill Sans MT" w:hAnsi="Verdana"/>
          <w:sz w:val="24"/>
          <w:szCs w:val="24"/>
        </w:rPr>
        <w:lastRenderedPageBreak/>
        <w:t xml:space="preserve">Act as a broker between adoptive families and the placing Local Authority and the responsible Local Authorities to ensure agreed Permanency Support is delivered through a timely, needs led and evidence-based approach. </w:t>
      </w:r>
    </w:p>
    <w:p w14:paraId="7DB60EE3" w14:textId="77777777" w:rsidR="00A969A0" w:rsidRPr="00A969A0" w:rsidRDefault="00A969A0" w:rsidP="00A969A0">
      <w:pPr>
        <w:jc w:val="both"/>
        <w:rPr>
          <w:rFonts w:ascii="Verdana" w:eastAsia="Gill Sans MT" w:hAnsi="Verdana"/>
          <w:sz w:val="24"/>
          <w:szCs w:val="24"/>
        </w:rPr>
      </w:pPr>
    </w:p>
    <w:p w14:paraId="4C660CE1" w14:textId="50690A79" w:rsidR="00A969A0" w:rsidRPr="00A969A0" w:rsidRDefault="00A969A0" w:rsidP="00A969A0">
      <w:pPr>
        <w:numPr>
          <w:ilvl w:val="0"/>
          <w:numId w:val="8"/>
        </w:numPr>
        <w:spacing w:after="0" w:line="240" w:lineRule="auto"/>
        <w:jc w:val="both"/>
        <w:rPr>
          <w:rFonts w:ascii="Verdana" w:eastAsia="Gill Sans MT" w:hAnsi="Verdana"/>
          <w:sz w:val="24"/>
          <w:szCs w:val="24"/>
        </w:rPr>
      </w:pPr>
      <w:r w:rsidRPr="00A969A0">
        <w:rPr>
          <w:rFonts w:ascii="Verdana" w:eastAsia="Gill Sans MT" w:hAnsi="Verdana"/>
          <w:sz w:val="24"/>
          <w:szCs w:val="24"/>
        </w:rPr>
        <w:t>Provide high quality and timely assessments and reports in the agreed format. This includes preparing assessments and reports for Court Proceedings, Child Protection Case Conferences, Statutory Reviews, and any other forum as directed by the Team Manager (Permanency Support).</w:t>
      </w:r>
    </w:p>
    <w:p w14:paraId="0208FBAB" w14:textId="77777777" w:rsidR="00A969A0" w:rsidRPr="00A969A0" w:rsidRDefault="00A969A0" w:rsidP="00A969A0">
      <w:pPr>
        <w:jc w:val="both"/>
        <w:rPr>
          <w:rFonts w:ascii="Verdana" w:eastAsia="Gill Sans MT" w:hAnsi="Verdana"/>
          <w:sz w:val="24"/>
          <w:szCs w:val="24"/>
        </w:rPr>
      </w:pPr>
    </w:p>
    <w:p w14:paraId="2DAB8020" w14:textId="46C51CEC" w:rsidR="00A969A0" w:rsidRPr="00A969A0" w:rsidRDefault="00A969A0" w:rsidP="00A969A0">
      <w:pPr>
        <w:numPr>
          <w:ilvl w:val="0"/>
          <w:numId w:val="8"/>
        </w:numPr>
        <w:spacing w:after="0" w:line="240" w:lineRule="auto"/>
        <w:jc w:val="both"/>
        <w:rPr>
          <w:rFonts w:ascii="Verdana" w:eastAsia="Gill Sans MT" w:hAnsi="Verdana"/>
          <w:sz w:val="24"/>
          <w:szCs w:val="24"/>
        </w:rPr>
      </w:pPr>
      <w:r w:rsidRPr="00A969A0">
        <w:rPr>
          <w:rFonts w:ascii="Verdana" w:eastAsia="Gill Sans MT" w:hAnsi="Verdana"/>
          <w:sz w:val="24"/>
          <w:szCs w:val="24"/>
        </w:rPr>
        <w:t xml:space="preserve">Maintaining client records (electronic and paper) in line with policies, procedures, and guidance of the Together4Children Regional Permanency Arrangement. </w:t>
      </w:r>
    </w:p>
    <w:p w14:paraId="275F1D87" w14:textId="77777777" w:rsidR="00A969A0" w:rsidRPr="00A969A0" w:rsidRDefault="00A969A0" w:rsidP="00A969A0">
      <w:pPr>
        <w:pStyle w:val="ListParagraph"/>
        <w:ind w:left="360"/>
        <w:rPr>
          <w:rFonts w:ascii="Verdana" w:eastAsia="Gill Sans MT" w:hAnsi="Verdana"/>
          <w:sz w:val="24"/>
          <w:szCs w:val="24"/>
        </w:rPr>
      </w:pPr>
    </w:p>
    <w:p w14:paraId="06FC7C9E" w14:textId="77777777" w:rsidR="00A969A0" w:rsidRPr="00A969A0" w:rsidRDefault="00A969A0" w:rsidP="00A969A0">
      <w:pPr>
        <w:numPr>
          <w:ilvl w:val="0"/>
          <w:numId w:val="8"/>
        </w:numPr>
        <w:spacing w:after="0" w:line="240" w:lineRule="auto"/>
        <w:jc w:val="both"/>
        <w:rPr>
          <w:rFonts w:ascii="Verdana" w:eastAsia="Gill Sans MT" w:hAnsi="Verdana"/>
          <w:sz w:val="24"/>
          <w:szCs w:val="24"/>
        </w:rPr>
      </w:pPr>
      <w:r w:rsidRPr="00A969A0">
        <w:rPr>
          <w:rFonts w:ascii="Verdana" w:eastAsia="Gill Sans MT" w:hAnsi="Verdana"/>
          <w:sz w:val="24"/>
          <w:szCs w:val="24"/>
        </w:rPr>
        <w:t xml:space="preserve">Participating in regular supervision or consultation with the Team Manager (Permanency Support), ensuring that they are always made aware of significant issues in respect of Adopters, Children and Families. </w:t>
      </w:r>
    </w:p>
    <w:p w14:paraId="1F457232" w14:textId="77777777" w:rsidR="00A969A0" w:rsidRPr="00A969A0" w:rsidRDefault="00A969A0" w:rsidP="00A969A0">
      <w:pPr>
        <w:pStyle w:val="ListParagraph"/>
        <w:ind w:left="360"/>
        <w:rPr>
          <w:rFonts w:ascii="Verdana" w:eastAsia="Gill Sans MT" w:hAnsi="Verdana"/>
          <w:sz w:val="24"/>
          <w:szCs w:val="24"/>
        </w:rPr>
      </w:pPr>
    </w:p>
    <w:p w14:paraId="463AB5DD" w14:textId="77777777" w:rsidR="00A969A0" w:rsidRPr="00A969A0" w:rsidRDefault="00A969A0" w:rsidP="00A969A0">
      <w:pPr>
        <w:numPr>
          <w:ilvl w:val="0"/>
          <w:numId w:val="8"/>
        </w:numPr>
        <w:spacing w:after="0" w:line="240" w:lineRule="auto"/>
        <w:jc w:val="both"/>
        <w:rPr>
          <w:rFonts w:ascii="Verdana" w:eastAsia="Gill Sans MT" w:hAnsi="Verdana"/>
          <w:sz w:val="24"/>
          <w:szCs w:val="24"/>
        </w:rPr>
      </w:pPr>
      <w:r w:rsidRPr="00A969A0">
        <w:rPr>
          <w:rFonts w:ascii="Verdana" w:eastAsia="Gill Sans MT" w:hAnsi="Verdana"/>
          <w:sz w:val="24"/>
          <w:szCs w:val="24"/>
        </w:rPr>
        <w:t>Supervising and supporting the professional development of members of the team, including social work students and non-social work qualified staff on the team when required.</w:t>
      </w:r>
    </w:p>
    <w:p w14:paraId="555FC6FC" w14:textId="77777777" w:rsidR="00A969A0" w:rsidRPr="00A969A0" w:rsidRDefault="00A969A0" w:rsidP="00A969A0">
      <w:pPr>
        <w:ind w:left="360"/>
        <w:jc w:val="both"/>
        <w:rPr>
          <w:rFonts w:ascii="Verdana" w:eastAsia="Gill Sans MT" w:hAnsi="Verdana"/>
          <w:sz w:val="24"/>
          <w:szCs w:val="24"/>
        </w:rPr>
      </w:pPr>
    </w:p>
    <w:p w14:paraId="56619A5F" w14:textId="34FC3C19" w:rsidR="00A969A0" w:rsidRPr="00A969A0" w:rsidRDefault="00A969A0" w:rsidP="00A969A0">
      <w:pPr>
        <w:numPr>
          <w:ilvl w:val="0"/>
          <w:numId w:val="8"/>
        </w:numPr>
        <w:spacing w:after="0" w:line="240" w:lineRule="auto"/>
        <w:jc w:val="both"/>
        <w:rPr>
          <w:rFonts w:ascii="Verdana" w:eastAsia="Gill Sans MT" w:hAnsi="Verdana"/>
          <w:sz w:val="24"/>
          <w:szCs w:val="24"/>
        </w:rPr>
      </w:pPr>
      <w:r w:rsidRPr="00A969A0">
        <w:rPr>
          <w:rFonts w:ascii="Verdana" w:eastAsia="Gill Sans MT" w:hAnsi="Verdana"/>
          <w:sz w:val="24"/>
          <w:szCs w:val="24"/>
        </w:rPr>
        <w:t>Seek to work in Partnership with colleagues across the Together4Children Regional Permanency Arrangement, within individual Local Authorities and outside partners/agencies to achieve identified outcomes for vulnerable children in their service area.</w:t>
      </w:r>
    </w:p>
    <w:p w14:paraId="796C0CC5" w14:textId="77777777" w:rsidR="00A969A0" w:rsidRPr="00A969A0" w:rsidRDefault="00A969A0" w:rsidP="00A969A0">
      <w:pPr>
        <w:ind w:left="360"/>
        <w:jc w:val="both"/>
        <w:rPr>
          <w:rFonts w:ascii="Verdana" w:eastAsia="Gill Sans MT" w:hAnsi="Verdana"/>
          <w:sz w:val="24"/>
          <w:szCs w:val="24"/>
        </w:rPr>
      </w:pPr>
    </w:p>
    <w:p w14:paraId="4132CEBD" w14:textId="77777777" w:rsidR="00A969A0" w:rsidRPr="00A969A0" w:rsidRDefault="00A969A0" w:rsidP="00A969A0">
      <w:pPr>
        <w:numPr>
          <w:ilvl w:val="0"/>
          <w:numId w:val="8"/>
        </w:numPr>
        <w:spacing w:after="0" w:line="240" w:lineRule="auto"/>
        <w:jc w:val="both"/>
        <w:rPr>
          <w:rFonts w:ascii="Verdana" w:eastAsia="Gill Sans MT" w:hAnsi="Verdana"/>
          <w:sz w:val="24"/>
          <w:szCs w:val="24"/>
        </w:rPr>
      </w:pPr>
      <w:r w:rsidRPr="00A969A0">
        <w:rPr>
          <w:rFonts w:ascii="Verdana" w:eastAsia="Gill Sans MT" w:hAnsi="Verdana"/>
          <w:sz w:val="24"/>
          <w:szCs w:val="24"/>
        </w:rPr>
        <w:t xml:space="preserve">Participate in the formulation of new initiatives, and policy across the Together4Children Regional Permanency Arrangement or within an individual Local Authority (as appropriate). </w:t>
      </w:r>
      <w:proofErr w:type="gramStart"/>
      <w:r w:rsidRPr="00A969A0">
        <w:rPr>
          <w:rFonts w:ascii="Verdana" w:eastAsia="Gill Sans MT" w:hAnsi="Verdana"/>
          <w:sz w:val="24"/>
          <w:szCs w:val="24"/>
        </w:rPr>
        <w:t>As a Senior Social Worker (Permanency Support), this</w:t>
      </w:r>
      <w:proofErr w:type="gramEnd"/>
      <w:r w:rsidRPr="00A969A0">
        <w:rPr>
          <w:rFonts w:ascii="Verdana" w:eastAsia="Gill Sans MT" w:hAnsi="Verdana"/>
          <w:sz w:val="24"/>
          <w:szCs w:val="24"/>
        </w:rPr>
        <w:t xml:space="preserve"> includes taking a lead role within the Hub for researching and developing evidence-based practice and sharing this with other colleagues. </w:t>
      </w:r>
    </w:p>
    <w:p w14:paraId="5531F529" w14:textId="77777777" w:rsidR="00A969A0" w:rsidRPr="00A969A0" w:rsidRDefault="00A969A0" w:rsidP="00A969A0">
      <w:pPr>
        <w:jc w:val="both"/>
        <w:rPr>
          <w:rFonts w:ascii="Verdana" w:eastAsia="Gill Sans MT" w:hAnsi="Verdana" w:cs="Arial"/>
          <w:b/>
          <w:sz w:val="24"/>
          <w:szCs w:val="24"/>
        </w:rPr>
      </w:pPr>
    </w:p>
    <w:p w14:paraId="65B575FA" w14:textId="78971130" w:rsidR="0041456C" w:rsidRDefault="00A969A0" w:rsidP="00A969A0">
      <w:pPr>
        <w:pStyle w:val="Body-Bold"/>
        <w:numPr>
          <w:ilvl w:val="0"/>
          <w:numId w:val="8"/>
        </w:numPr>
        <w:ind w:right="774"/>
      </w:pPr>
      <w:r>
        <w:rPr>
          <w:rFonts w:ascii="Gill Sans MT" w:eastAsia="Gill Sans MT" w:hAnsi="Gill Sans MT"/>
          <w:color w:val="auto"/>
          <w:sz w:val="28"/>
          <w:szCs w:val="28"/>
        </w:rPr>
        <w:br w:type="page"/>
      </w:r>
    </w:p>
    <w:p w14:paraId="3E7F65FD" w14:textId="38787593" w:rsidR="0041456C" w:rsidRDefault="0041456C" w:rsidP="00D81FE9">
      <w:pPr>
        <w:pStyle w:val="Body-Bold"/>
        <w:ind w:right="774"/>
      </w:pPr>
    </w:p>
    <w:p w14:paraId="00435A01" w14:textId="32E0846C" w:rsidR="0041456C" w:rsidRDefault="0041456C" w:rsidP="00D81FE9">
      <w:pPr>
        <w:pStyle w:val="Body-Bold"/>
        <w:ind w:right="774"/>
      </w:pPr>
    </w:p>
    <w:p w14:paraId="264EBD66" w14:textId="0F1ADFB8" w:rsidR="6AE4C042" w:rsidRDefault="6AE4C042" w:rsidP="00D81FE9">
      <w:pPr>
        <w:ind w:right="774"/>
        <w:jc w:val="both"/>
        <w:rPr>
          <w:rFonts w:ascii="Verdana" w:eastAsia="Verdana" w:hAnsi="Verdana" w:cs="Verdana"/>
          <w:sz w:val="24"/>
          <w:szCs w:val="24"/>
        </w:rPr>
      </w:pPr>
      <w:r w:rsidRPr="0C09183C">
        <w:rPr>
          <w:rFonts w:ascii="Verdana" w:eastAsia="Verdana" w:hAnsi="Verdana" w:cs="Verdana"/>
          <w:sz w:val="24"/>
          <w:szCs w:val="24"/>
        </w:rPr>
        <w:t xml:space="preserve">This post is designated as Essential car </w:t>
      </w:r>
      <w:proofErr w:type="gramStart"/>
      <w:r w:rsidRPr="0C09183C">
        <w:rPr>
          <w:rFonts w:ascii="Verdana" w:eastAsia="Verdana" w:hAnsi="Verdana" w:cs="Verdana"/>
          <w:sz w:val="24"/>
          <w:szCs w:val="24"/>
        </w:rPr>
        <w:t>user</w:t>
      </w:r>
      <w:proofErr w:type="gramEnd"/>
      <w:r w:rsidRPr="0C09183C">
        <w:rPr>
          <w:rFonts w:ascii="Verdana" w:eastAsia="Verdana" w:hAnsi="Verdana" w:cs="Verdana"/>
          <w:sz w:val="24"/>
          <w:szCs w:val="24"/>
        </w:rPr>
        <w:t xml:space="preserve"> </w:t>
      </w: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1"/>
      <w:r w:rsidRPr="00AB3803">
        <w:rPr>
          <w:rFonts w:ascii="Verdana" w:eastAsia="Calibri" w:hAnsi="Verdana" w:cs="Avenir Roman"/>
          <w:color w:val="000000"/>
          <w:sz w:val="24"/>
          <w:szCs w:val="24"/>
          <w:lang w:val="en-GB"/>
        </w:rPr>
        <w:t>through</w:t>
      </w:r>
      <w:commentRangeEnd w:id="1"/>
      <w:r w:rsidR="002D413B">
        <w:rPr>
          <w:rStyle w:val="CommentReference"/>
          <w:rFonts w:ascii="Times New Roman" w:eastAsia="Times New Roman" w:hAnsi="Times New Roman" w:cs="Times New Roman"/>
          <w:lang w:val="en-GB"/>
        </w:rPr>
        <w:commentReference w:id="1"/>
      </w:r>
      <w:r w:rsidRPr="00AB3803">
        <w:rPr>
          <w:rFonts w:ascii="Verdana" w:eastAsia="Calibri" w:hAnsi="Verdana" w:cs="Avenir Roman"/>
          <w:color w:val="000000"/>
          <w:sz w:val="24"/>
          <w:szCs w:val="24"/>
          <w:lang w:val="en-GB"/>
        </w:rPr>
        <w:t>:</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commentRangeStart w:id="2"/>
      <w:commentRangeEnd w:id="2"/>
      <w:r>
        <w:rPr>
          <w:rStyle w:val="CommentReference"/>
        </w:rPr>
        <w:commentReference w:id="2"/>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3BC7C9" w14:textId="0040BA4A" w:rsidR="0041456C" w:rsidRPr="00D173B3" w:rsidRDefault="0041456C" w:rsidP="00AD7745">
      <w:pPr>
        <w:ind w:right="774"/>
        <w:rPr>
          <w:lang w:val="en-GB"/>
        </w:rPr>
      </w:pPr>
      <w:r>
        <w:rPr>
          <w:rFonts w:ascii="Verdana" w:eastAsia="Calibri" w:hAnsi="Verdana" w:cs="Avenir Roman"/>
          <w:color w:val="000000"/>
          <w:sz w:val="24"/>
          <w:szCs w:val="24"/>
          <w:lang w:val="en-GB"/>
        </w:rPr>
        <w:br w:type="page"/>
      </w:r>
      <w:commentRangeStart w:id="3"/>
      <w:r w:rsidRPr="00D173B3">
        <w:rPr>
          <w:rFonts w:ascii="Verdana" w:hAnsi="Verdana" w:cs="Avenir Heavy"/>
          <w:b/>
          <w:bCs/>
          <w:lang w:val="en-GB"/>
        </w:rPr>
        <w:lastRenderedPageBreak/>
        <w:t xml:space="preserve">Person Specification </w:t>
      </w:r>
      <w:r w:rsidRPr="00D173B3">
        <w:rPr>
          <w:rFonts w:ascii="Verdana" w:hAnsi="Verdana" w:cs="Avenir Heavy"/>
          <w:b/>
          <w:bCs/>
          <w:lang w:val="en-GB"/>
        </w:rPr>
        <w:tab/>
      </w:r>
      <w:commentRangeEnd w:id="3"/>
      <w:r w:rsidR="002D413B">
        <w:rPr>
          <w:rStyle w:val="CommentReference"/>
          <w:rFonts w:ascii="Times New Roman" w:hAnsi="Times New Roman" w:cs="Times New Roman"/>
          <w:lang w:val="en-GB"/>
        </w:rPr>
        <w:commentReference w:id="3"/>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commentRangeStart w:id="4"/>
            <w:r w:rsidRPr="0041456C">
              <w:rPr>
                <w:rFonts w:ascii="Gill Sans MT" w:eastAsia="Gill Sans MT" w:hAnsi="Gill Sans MT" w:cs="Arial"/>
                <w:b/>
                <w:sz w:val="24"/>
                <w:szCs w:val="24"/>
                <w:lang w:val="en-GB"/>
              </w:rPr>
              <w:t xml:space="preserve">Qualifications/Professional </w:t>
            </w:r>
            <w:commentRangeEnd w:id="4"/>
            <w:r w:rsidR="002D413B">
              <w:rPr>
                <w:rStyle w:val="CommentReference"/>
                <w:rFonts w:ascii="Times New Roman" w:eastAsia="Times New Roman" w:hAnsi="Times New Roman" w:cs="Times New Roman"/>
                <w:lang w:val="en-GB"/>
              </w:rPr>
              <w:commentReference w:id="4"/>
            </w:r>
            <w:r w:rsidRPr="0041456C">
              <w:rPr>
                <w:rFonts w:ascii="Gill Sans MT" w:eastAsia="Gill Sans MT" w:hAnsi="Gill Sans MT" w:cs="Arial"/>
                <w:b/>
                <w:sz w:val="24"/>
                <w:szCs w:val="24"/>
                <w:lang w:val="en-GB"/>
              </w:rPr>
              <w:t>membership</w:t>
            </w:r>
          </w:p>
          <w:p w14:paraId="48AD8D56" w14:textId="77777777" w:rsidR="0041456C" w:rsidRDefault="0041456C" w:rsidP="00102B52">
            <w:pPr>
              <w:tabs>
                <w:tab w:val="left" w:pos="6403"/>
              </w:tabs>
              <w:autoSpaceDE w:val="0"/>
              <w:autoSpaceDN w:val="0"/>
              <w:adjustRightInd w:val="0"/>
              <w:spacing w:after="0" w:line="240" w:lineRule="auto"/>
              <w:ind w:right="774"/>
              <w:jc w:val="both"/>
              <w:rPr>
                <w:rFonts w:ascii="Gill Sans MT" w:eastAsia="Gill Sans MT" w:hAnsi="Gill Sans MT"/>
              </w:rPr>
            </w:pPr>
          </w:p>
          <w:p w14:paraId="7F9F7BD6" w14:textId="77777777" w:rsidR="00A969A0" w:rsidRPr="003F2151" w:rsidRDefault="00A969A0" w:rsidP="00A969A0">
            <w:pPr>
              <w:numPr>
                <w:ilvl w:val="0"/>
                <w:numId w:val="19"/>
              </w:numPr>
              <w:spacing w:after="0" w:line="240" w:lineRule="auto"/>
              <w:jc w:val="both"/>
              <w:rPr>
                <w:rFonts w:ascii="Verdana" w:eastAsia="Gill Sans MT" w:hAnsi="Verdana"/>
                <w:sz w:val="24"/>
                <w:szCs w:val="24"/>
              </w:rPr>
            </w:pPr>
            <w:r w:rsidRPr="003F2151">
              <w:rPr>
                <w:rFonts w:ascii="Verdana" w:eastAsia="Gill Sans MT" w:hAnsi="Verdana"/>
                <w:sz w:val="24"/>
                <w:szCs w:val="24"/>
              </w:rPr>
              <w:t>Appropriately Qualified and Registered Social Worker.</w:t>
            </w:r>
          </w:p>
          <w:p w14:paraId="245EB615" w14:textId="77777777" w:rsidR="00A969A0" w:rsidRPr="003F2151" w:rsidRDefault="00A969A0" w:rsidP="00A969A0">
            <w:pPr>
              <w:jc w:val="both"/>
              <w:rPr>
                <w:rFonts w:ascii="Verdana" w:eastAsia="Gill Sans MT" w:hAnsi="Verdana"/>
                <w:sz w:val="24"/>
                <w:szCs w:val="24"/>
              </w:rPr>
            </w:pPr>
          </w:p>
          <w:p w14:paraId="607C087D" w14:textId="77777777" w:rsidR="00A969A0" w:rsidRPr="003F2151" w:rsidRDefault="00A969A0" w:rsidP="00A969A0">
            <w:pPr>
              <w:numPr>
                <w:ilvl w:val="0"/>
                <w:numId w:val="19"/>
              </w:numPr>
              <w:spacing w:after="0" w:line="240" w:lineRule="auto"/>
              <w:jc w:val="both"/>
              <w:rPr>
                <w:rFonts w:ascii="Verdana" w:eastAsia="Gill Sans MT" w:hAnsi="Verdana"/>
                <w:sz w:val="24"/>
                <w:szCs w:val="24"/>
              </w:rPr>
            </w:pPr>
            <w:r w:rsidRPr="003F2151">
              <w:rPr>
                <w:rFonts w:ascii="Verdana" w:eastAsia="Gill Sans MT" w:hAnsi="Verdana"/>
                <w:sz w:val="24"/>
                <w:szCs w:val="24"/>
              </w:rPr>
              <w:t>Willingness to work towards additional professional qualification in a related area e.g. Practice Educator.</w:t>
            </w:r>
          </w:p>
          <w:p w14:paraId="115E7A7B" w14:textId="77777777" w:rsidR="00A969A0" w:rsidRPr="003F2151" w:rsidRDefault="00A969A0" w:rsidP="00A969A0">
            <w:pPr>
              <w:jc w:val="both"/>
              <w:rPr>
                <w:rFonts w:ascii="Verdana" w:eastAsia="Gill Sans MT" w:hAnsi="Verdana"/>
                <w:sz w:val="24"/>
                <w:szCs w:val="24"/>
              </w:rPr>
            </w:pPr>
          </w:p>
          <w:p w14:paraId="708D76B4" w14:textId="77777777" w:rsidR="00A969A0" w:rsidRPr="003F2151" w:rsidRDefault="00A969A0" w:rsidP="00A969A0">
            <w:pPr>
              <w:numPr>
                <w:ilvl w:val="0"/>
                <w:numId w:val="19"/>
              </w:numPr>
              <w:spacing w:after="0" w:line="240" w:lineRule="auto"/>
              <w:jc w:val="both"/>
              <w:rPr>
                <w:rFonts w:ascii="Verdana" w:eastAsia="Gill Sans MT" w:hAnsi="Verdana"/>
                <w:sz w:val="24"/>
                <w:szCs w:val="24"/>
              </w:rPr>
            </w:pPr>
            <w:r w:rsidRPr="003F2151">
              <w:rPr>
                <w:rFonts w:ascii="Verdana" w:eastAsia="Gill Sans MT" w:hAnsi="Verdana"/>
                <w:sz w:val="24"/>
                <w:szCs w:val="24"/>
              </w:rPr>
              <w:t xml:space="preserve">Willingness to work towards a Management Qualification. </w:t>
            </w:r>
          </w:p>
          <w:p w14:paraId="7E0FD62A" w14:textId="77777777" w:rsidR="00A969A0" w:rsidRPr="003F2151" w:rsidRDefault="00A969A0" w:rsidP="00A969A0">
            <w:pPr>
              <w:jc w:val="both"/>
              <w:rPr>
                <w:rFonts w:ascii="Verdana" w:eastAsia="Gill Sans MT" w:hAnsi="Verdana"/>
                <w:sz w:val="24"/>
                <w:szCs w:val="24"/>
              </w:rPr>
            </w:pPr>
          </w:p>
          <w:p w14:paraId="40981659" w14:textId="77777777" w:rsidR="00A969A0" w:rsidRPr="003F2151" w:rsidRDefault="00A969A0" w:rsidP="00A969A0">
            <w:pPr>
              <w:numPr>
                <w:ilvl w:val="0"/>
                <w:numId w:val="19"/>
              </w:numPr>
              <w:spacing w:after="0" w:line="240" w:lineRule="auto"/>
              <w:jc w:val="both"/>
              <w:rPr>
                <w:rFonts w:ascii="Verdana" w:eastAsia="Gill Sans MT" w:hAnsi="Verdana"/>
                <w:sz w:val="24"/>
                <w:szCs w:val="24"/>
              </w:rPr>
            </w:pPr>
            <w:r w:rsidRPr="003F2151">
              <w:rPr>
                <w:rFonts w:ascii="Verdana" w:eastAsia="Gill Sans MT" w:hAnsi="Verdana"/>
                <w:sz w:val="24"/>
                <w:szCs w:val="24"/>
              </w:rPr>
              <w:t xml:space="preserve">Evidence of continuous professional development within Children’s Social Care. </w:t>
            </w:r>
          </w:p>
          <w:p w14:paraId="45DF3FEE" w14:textId="77777777" w:rsidR="00A969A0" w:rsidRDefault="00A969A0" w:rsidP="00102B52">
            <w:pPr>
              <w:tabs>
                <w:tab w:val="left" w:pos="6403"/>
              </w:tabs>
              <w:autoSpaceDE w:val="0"/>
              <w:autoSpaceDN w:val="0"/>
              <w:adjustRightInd w:val="0"/>
              <w:spacing w:after="0" w:line="240" w:lineRule="auto"/>
              <w:ind w:right="774"/>
              <w:jc w:val="both"/>
              <w:rPr>
                <w:rFonts w:ascii="Gill Sans MT" w:eastAsia="Gill Sans MT" w:hAnsi="Gill Sans MT"/>
              </w:rPr>
            </w:pPr>
          </w:p>
          <w:p w14:paraId="74AB4191" w14:textId="093A2651" w:rsidR="003F2151" w:rsidRPr="0041456C" w:rsidRDefault="003F2151" w:rsidP="00102B52">
            <w:pPr>
              <w:tabs>
                <w:tab w:val="left" w:pos="6403"/>
              </w:tabs>
              <w:autoSpaceDE w:val="0"/>
              <w:autoSpaceDN w:val="0"/>
              <w:adjustRightInd w:val="0"/>
              <w:spacing w:after="0" w:line="240" w:lineRule="auto"/>
              <w:ind w:right="774"/>
              <w:jc w:val="both"/>
              <w:rPr>
                <w:rFonts w:ascii="Gill Sans MT" w:eastAsia="Gill Sans MT" w:hAnsi="Gill Sans MT"/>
              </w:rPr>
            </w:pPr>
          </w:p>
        </w:tc>
        <w:tc>
          <w:tcPr>
            <w:tcW w:w="1946" w:type="dxa"/>
          </w:tcPr>
          <w:p w14:paraId="68FF5ED8" w14:textId="77777777" w:rsidR="0041456C" w:rsidRPr="0041456C" w:rsidRDefault="0041456C" w:rsidP="00D81FE9">
            <w:pPr>
              <w:ind w:right="774"/>
              <w:rPr>
                <w:rFonts w:ascii="Gill Sans MT" w:eastAsia="Gill Sans MT" w:hAnsi="Gill Sans MT"/>
              </w:rPr>
            </w:pPr>
          </w:p>
          <w:p w14:paraId="6FA22344" w14:textId="77777777" w:rsidR="0041456C" w:rsidRDefault="00A969A0" w:rsidP="00A969A0">
            <w:pPr>
              <w:ind w:right="774"/>
              <w:jc w:val="center"/>
              <w:rPr>
                <w:rFonts w:ascii="Gill Sans MT" w:eastAsia="Gill Sans MT" w:hAnsi="Gill Sans MT"/>
              </w:rPr>
            </w:pPr>
            <w:r>
              <w:rPr>
                <w:rFonts w:ascii="Gill Sans MT" w:eastAsia="Gill Sans MT" w:hAnsi="Gill Sans MT"/>
              </w:rPr>
              <w:t>A</w:t>
            </w:r>
          </w:p>
          <w:p w14:paraId="5714ECBD" w14:textId="77777777" w:rsidR="00A969A0" w:rsidRDefault="00A969A0" w:rsidP="00A969A0">
            <w:pPr>
              <w:ind w:right="774"/>
              <w:jc w:val="center"/>
              <w:rPr>
                <w:rFonts w:ascii="Gill Sans MT" w:eastAsia="Gill Sans MT" w:hAnsi="Gill Sans MT"/>
              </w:rPr>
            </w:pPr>
          </w:p>
          <w:p w14:paraId="5BAEF096" w14:textId="77777777" w:rsidR="00A969A0" w:rsidRDefault="00A969A0" w:rsidP="00A969A0">
            <w:pPr>
              <w:ind w:right="774"/>
              <w:jc w:val="center"/>
              <w:rPr>
                <w:rFonts w:ascii="Gill Sans MT" w:eastAsia="Gill Sans MT" w:hAnsi="Gill Sans MT"/>
              </w:rPr>
            </w:pPr>
            <w:r>
              <w:rPr>
                <w:rFonts w:ascii="Gill Sans MT" w:eastAsia="Gill Sans MT" w:hAnsi="Gill Sans MT"/>
              </w:rPr>
              <w:t>A</w:t>
            </w:r>
          </w:p>
          <w:p w14:paraId="697B7C57" w14:textId="77777777" w:rsidR="00A969A0" w:rsidRDefault="00A969A0" w:rsidP="00A969A0">
            <w:pPr>
              <w:ind w:right="774"/>
              <w:jc w:val="center"/>
              <w:rPr>
                <w:rFonts w:ascii="Gill Sans MT" w:eastAsia="Gill Sans MT" w:hAnsi="Gill Sans MT"/>
              </w:rPr>
            </w:pPr>
          </w:p>
          <w:p w14:paraId="6396ECCD" w14:textId="77777777" w:rsidR="00A969A0" w:rsidRDefault="00A969A0" w:rsidP="00A969A0">
            <w:pPr>
              <w:ind w:right="774"/>
              <w:jc w:val="center"/>
              <w:rPr>
                <w:rFonts w:ascii="Gill Sans MT" w:eastAsia="Gill Sans MT" w:hAnsi="Gill Sans MT"/>
              </w:rPr>
            </w:pPr>
            <w:r>
              <w:rPr>
                <w:rFonts w:ascii="Gill Sans MT" w:eastAsia="Gill Sans MT" w:hAnsi="Gill Sans MT"/>
              </w:rPr>
              <w:t>A</w:t>
            </w:r>
          </w:p>
          <w:p w14:paraId="28420BF6" w14:textId="77777777" w:rsidR="00A969A0" w:rsidRDefault="00A969A0" w:rsidP="00A969A0">
            <w:pPr>
              <w:ind w:right="774"/>
              <w:jc w:val="center"/>
              <w:rPr>
                <w:rFonts w:ascii="Gill Sans MT" w:eastAsia="Gill Sans MT" w:hAnsi="Gill Sans MT"/>
              </w:rPr>
            </w:pPr>
          </w:p>
          <w:p w14:paraId="4FA5215D" w14:textId="08D1AFB1" w:rsidR="00A969A0" w:rsidRPr="0041456C" w:rsidRDefault="00A969A0" w:rsidP="00A969A0">
            <w:pPr>
              <w:ind w:right="774"/>
              <w:jc w:val="center"/>
              <w:rPr>
                <w:rFonts w:ascii="Gill Sans MT" w:eastAsia="Gill Sans MT" w:hAnsi="Gill Sans MT"/>
              </w:rPr>
            </w:pPr>
            <w:r>
              <w:rPr>
                <w:rFonts w:ascii="Gill Sans MT" w:eastAsia="Gill Sans MT" w:hAnsi="Gill Sans MT"/>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commentRangeStart w:id="5"/>
            <w:r w:rsidRPr="79EE954F">
              <w:rPr>
                <w:rFonts w:ascii="Gill Sans MT" w:eastAsia="Gill Sans MT" w:hAnsi="Gill Sans MT" w:cs="Arial"/>
                <w:b/>
                <w:bCs/>
                <w:sz w:val="24"/>
                <w:szCs w:val="24"/>
                <w:lang w:val="en-GB"/>
              </w:rPr>
              <w:t>Knowledge and Experience</w:t>
            </w:r>
            <w:commentRangeEnd w:id="5"/>
            <w:r>
              <w:rPr>
                <w:rStyle w:val="CommentReference"/>
                <w:rFonts w:ascii="Times New Roman" w:eastAsia="Times New Roman" w:hAnsi="Times New Roman" w:cs="Times New Roman"/>
                <w:lang w:val="en-GB"/>
              </w:rPr>
              <w:commentReference w:id="5"/>
            </w:r>
          </w:p>
          <w:p w14:paraId="22AC9AEC" w14:textId="77777777" w:rsidR="0041456C" w:rsidRDefault="0041456C" w:rsidP="00D81FE9">
            <w:pPr>
              <w:autoSpaceDE w:val="0"/>
              <w:autoSpaceDN w:val="0"/>
              <w:adjustRightInd w:val="0"/>
              <w:spacing w:after="0" w:line="240" w:lineRule="auto"/>
              <w:ind w:right="774"/>
              <w:rPr>
                <w:rFonts w:ascii="Arial" w:hAnsi="Arial"/>
              </w:rPr>
            </w:pPr>
          </w:p>
          <w:p w14:paraId="693AA4BE" w14:textId="77777777" w:rsidR="00A969A0" w:rsidRPr="003F2151" w:rsidRDefault="00A969A0" w:rsidP="00A969A0">
            <w:pPr>
              <w:numPr>
                <w:ilvl w:val="0"/>
                <w:numId w:val="19"/>
              </w:numPr>
              <w:spacing w:after="0" w:line="240" w:lineRule="auto"/>
              <w:jc w:val="both"/>
              <w:rPr>
                <w:rFonts w:ascii="Verdana" w:eastAsia="Gill Sans MT" w:hAnsi="Verdana"/>
                <w:sz w:val="24"/>
                <w:szCs w:val="24"/>
              </w:rPr>
            </w:pPr>
            <w:r w:rsidRPr="003F2151">
              <w:rPr>
                <w:rFonts w:ascii="Verdana" w:eastAsia="Gill Sans MT" w:hAnsi="Verdana"/>
                <w:sz w:val="24"/>
                <w:szCs w:val="24"/>
              </w:rPr>
              <w:t xml:space="preserve">Minimum of three years of post-qualifying experience. </w:t>
            </w:r>
          </w:p>
          <w:p w14:paraId="09CEF82D" w14:textId="77777777" w:rsidR="00A969A0" w:rsidRPr="003F2151" w:rsidRDefault="00A969A0" w:rsidP="00A969A0">
            <w:pPr>
              <w:jc w:val="both"/>
              <w:rPr>
                <w:rFonts w:ascii="Verdana" w:eastAsia="Gill Sans MT" w:hAnsi="Verdana"/>
                <w:sz w:val="24"/>
                <w:szCs w:val="24"/>
              </w:rPr>
            </w:pPr>
            <w:r w:rsidRPr="003F2151">
              <w:rPr>
                <w:rFonts w:ascii="Verdana" w:eastAsia="Gill Sans MT" w:hAnsi="Verdana"/>
                <w:sz w:val="24"/>
                <w:szCs w:val="24"/>
              </w:rPr>
              <w:t xml:space="preserve"> </w:t>
            </w:r>
          </w:p>
          <w:p w14:paraId="64138015" w14:textId="77777777" w:rsidR="00A969A0" w:rsidRPr="003F2151" w:rsidRDefault="00A969A0" w:rsidP="00A969A0">
            <w:pPr>
              <w:numPr>
                <w:ilvl w:val="0"/>
                <w:numId w:val="19"/>
              </w:numPr>
              <w:spacing w:after="0" w:line="240" w:lineRule="auto"/>
              <w:jc w:val="both"/>
              <w:rPr>
                <w:rFonts w:ascii="Verdana" w:eastAsia="Gill Sans MT" w:hAnsi="Verdana"/>
                <w:sz w:val="24"/>
                <w:szCs w:val="24"/>
              </w:rPr>
            </w:pPr>
            <w:r w:rsidRPr="003F2151">
              <w:rPr>
                <w:rFonts w:ascii="Verdana" w:eastAsia="Gill Sans MT" w:hAnsi="Verdana"/>
                <w:sz w:val="24"/>
                <w:szCs w:val="24"/>
              </w:rPr>
              <w:t>Experience of working within the framework of the Children Act 1989, Adoption and Children Act 2002, Children Act 2004, Care Planning Regulations; and other relevant legislations including Working Together to Safeguard Children.</w:t>
            </w:r>
          </w:p>
          <w:p w14:paraId="5B258623" w14:textId="77777777" w:rsidR="00A969A0" w:rsidRPr="003F2151" w:rsidRDefault="00A969A0" w:rsidP="00A969A0">
            <w:pPr>
              <w:ind w:left="360"/>
              <w:jc w:val="both"/>
              <w:rPr>
                <w:rFonts w:ascii="Verdana" w:eastAsia="Gill Sans MT" w:hAnsi="Verdana"/>
                <w:sz w:val="24"/>
                <w:szCs w:val="24"/>
              </w:rPr>
            </w:pPr>
          </w:p>
          <w:p w14:paraId="4997C4C1" w14:textId="785E9D74" w:rsidR="00A969A0" w:rsidRPr="003F2151" w:rsidRDefault="00A969A0" w:rsidP="00A969A0">
            <w:pPr>
              <w:numPr>
                <w:ilvl w:val="0"/>
                <w:numId w:val="19"/>
              </w:numPr>
              <w:spacing w:after="0" w:line="240" w:lineRule="auto"/>
              <w:jc w:val="both"/>
              <w:rPr>
                <w:rFonts w:ascii="Verdana" w:eastAsia="Gill Sans MT" w:hAnsi="Verdana"/>
                <w:sz w:val="24"/>
                <w:szCs w:val="24"/>
              </w:rPr>
            </w:pPr>
            <w:r w:rsidRPr="003F2151">
              <w:rPr>
                <w:rFonts w:ascii="Verdana" w:eastAsia="Gill Sans MT" w:hAnsi="Verdana"/>
                <w:sz w:val="24"/>
                <w:szCs w:val="24"/>
              </w:rPr>
              <w:t xml:space="preserve">Extensive knowledge of child development and the impact of early childhood trauma, </w:t>
            </w:r>
            <w:r w:rsidR="003F2151" w:rsidRPr="003F2151">
              <w:rPr>
                <w:rFonts w:ascii="Verdana" w:eastAsia="Gill Sans MT" w:hAnsi="Verdana"/>
                <w:sz w:val="24"/>
                <w:szCs w:val="24"/>
              </w:rPr>
              <w:t>separation,</w:t>
            </w:r>
            <w:r w:rsidRPr="003F2151">
              <w:rPr>
                <w:rFonts w:ascii="Verdana" w:eastAsia="Gill Sans MT" w:hAnsi="Verdana"/>
                <w:sz w:val="24"/>
                <w:szCs w:val="24"/>
              </w:rPr>
              <w:t xml:space="preserve"> and loss on adopted children.</w:t>
            </w:r>
          </w:p>
          <w:p w14:paraId="5E640A5C" w14:textId="77777777" w:rsidR="00A969A0" w:rsidRPr="003F2151" w:rsidRDefault="00A969A0" w:rsidP="00A969A0">
            <w:pPr>
              <w:jc w:val="both"/>
              <w:rPr>
                <w:rFonts w:ascii="Verdana" w:eastAsia="Gill Sans MT" w:hAnsi="Verdana"/>
                <w:sz w:val="24"/>
                <w:szCs w:val="24"/>
              </w:rPr>
            </w:pPr>
          </w:p>
          <w:p w14:paraId="3EEE5AFE" w14:textId="70352CDD" w:rsidR="00A969A0" w:rsidRPr="003F2151" w:rsidRDefault="00A969A0" w:rsidP="00A969A0">
            <w:pPr>
              <w:numPr>
                <w:ilvl w:val="0"/>
                <w:numId w:val="19"/>
              </w:numPr>
              <w:spacing w:after="0" w:line="240" w:lineRule="auto"/>
              <w:jc w:val="both"/>
              <w:rPr>
                <w:rFonts w:ascii="Verdana" w:eastAsia="Gill Sans MT" w:hAnsi="Verdana"/>
                <w:sz w:val="24"/>
                <w:szCs w:val="24"/>
              </w:rPr>
            </w:pPr>
            <w:r w:rsidRPr="003F2151">
              <w:rPr>
                <w:rFonts w:ascii="Verdana" w:eastAsia="Gill Sans MT" w:hAnsi="Verdana"/>
                <w:sz w:val="24"/>
                <w:szCs w:val="24"/>
              </w:rPr>
              <w:t xml:space="preserve">Ability to use advanced theoretical / practical / procedural / </w:t>
            </w:r>
            <w:proofErr w:type="spellStart"/>
            <w:r w:rsidRPr="003F2151">
              <w:rPr>
                <w:rFonts w:ascii="Verdana" w:eastAsia="Gill Sans MT" w:hAnsi="Verdana"/>
                <w:sz w:val="24"/>
                <w:szCs w:val="24"/>
              </w:rPr>
              <w:t>organisational</w:t>
            </w:r>
            <w:proofErr w:type="spellEnd"/>
            <w:r w:rsidRPr="003F2151">
              <w:rPr>
                <w:rFonts w:ascii="Verdana" w:eastAsia="Gill Sans MT" w:hAnsi="Verdana"/>
                <w:sz w:val="24"/>
                <w:szCs w:val="24"/>
              </w:rPr>
              <w:t xml:space="preserve"> / policy knowledge across a specialist </w:t>
            </w:r>
            <w:r w:rsidRPr="003F2151">
              <w:rPr>
                <w:rFonts w:ascii="Verdana" w:eastAsia="Gill Sans MT" w:hAnsi="Verdana"/>
                <w:sz w:val="24"/>
                <w:szCs w:val="24"/>
              </w:rPr>
              <w:lastRenderedPageBreak/>
              <w:t xml:space="preserve">area and has detailed knowledge of </w:t>
            </w:r>
            <w:proofErr w:type="spellStart"/>
            <w:r w:rsidRPr="003F2151">
              <w:rPr>
                <w:rFonts w:ascii="Verdana" w:eastAsia="Gill Sans MT" w:hAnsi="Verdana"/>
                <w:sz w:val="24"/>
                <w:szCs w:val="24"/>
              </w:rPr>
              <w:t>organisational</w:t>
            </w:r>
            <w:proofErr w:type="spellEnd"/>
            <w:r w:rsidRPr="003F2151">
              <w:rPr>
                <w:rFonts w:ascii="Verdana" w:eastAsia="Gill Sans MT" w:hAnsi="Verdana"/>
                <w:sz w:val="24"/>
                <w:szCs w:val="24"/>
              </w:rPr>
              <w:t xml:space="preserve"> policies, </w:t>
            </w:r>
            <w:r w:rsidR="003F2151" w:rsidRPr="003F2151">
              <w:rPr>
                <w:rFonts w:ascii="Verdana" w:eastAsia="Gill Sans MT" w:hAnsi="Verdana"/>
                <w:sz w:val="24"/>
                <w:szCs w:val="24"/>
              </w:rPr>
              <w:t>practices,</w:t>
            </w:r>
            <w:r w:rsidRPr="003F2151">
              <w:rPr>
                <w:rFonts w:ascii="Verdana" w:eastAsia="Gill Sans MT" w:hAnsi="Verdana"/>
                <w:sz w:val="24"/>
                <w:szCs w:val="24"/>
              </w:rPr>
              <w:t xml:space="preserve"> or procedures.</w:t>
            </w:r>
          </w:p>
          <w:p w14:paraId="59258782" w14:textId="77777777" w:rsidR="00A969A0" w:rsidRPr="003F2151" w:rsidRDefault="00A969A0" w:rsidP="00A969A0">
            <w:pPr>
              <w:jc w:val="both"/>
              <w:rPr>
                <w:rFonts w:ascii="Verdana" w:eastAsia="Gill Sans MT" w:hAnsi="Verdana"/>
                <w:sz w:val="24"/>
                <w:szCs w:val="24"/>
              </w:rPr>
            </w:pPr>
          </w:p>
          <w:p w14:paraId="0FCC59C6" w14:textId="77777777" w:rsidR="00A969A0" w:rsidRPr="003F2151" w:rsidRDefault="00A969A0" w:rsidP="00A969A0">
            <w:pPr>
              <w:numPr>
                <w:ilvl w:val="0"/>
                <w:numId w:val="19"/>
              </w:numPr>
              <w:spacing w:after="0" w:line="240" w:lineRule="auto"/>
              <w:jc w:val="both"/>
              <w:rPr>
                <w:rFonts w:ascii="Verdana" w:eastAsia="Gill Sans MT" w:hAnsi="Verdana"/>
                <w:sz w:val="24"/>
                <w:szCs w:val="24"/>
              </w:rPr>
            </w:pPr>
            <w:r w:rsidRPr="003F2151">
              <w:rPr>
                <w:rFonts w:ascii="Verdana" w:eastAsia="Gill Sans MT" w:hAnsi="Verdana"/>
                <w:sz w:val="24"/>
                <w:szCs w:val="24"/>
              </w:rPr>
              <w:t>Understanding of the effects of problematic situations experienced by the children and families with whom we work.</w:t>
            </w:r>
          </w:p>
          <w:p w14:paraId="2D9CC8B6" w14:textId="77777777" w:rsidR="00A969A0" w:rsidRPr="007F42D6" w:rsidRDefault="00A969A0" w:rsidP="00A969A0">
            <w:pPr>
              <w:jc w:val="both"/>
              <w:rPr>
                <w:rFonts w:ascii="Gill Sans MT" w:eastAsia="Gill Sans MT" w:hAnsi="Gill Sans MT"/>
              </w:rPr>
            </w:pPr>
          </w:p>
          <w:p w14:paraId="72CCC867" w14:textId="77777777" w:rsidR="00A969A0" w:rsidRPr="003F2151" w:rsidRDefault="00A969A0" w:rsidP="00A969A0">
            <w:pPr>
              <w:numPr>
                <w:ilvl w:val="0"/>
                <w:numId w:val="19"/>
              </w:numPr>
              <w:spacing w:after="0" w:line="240" w:lineRule="auto"/>
              <w:jc w:val="both"/>
              <w:rPr>
                <w:rFonts w:ascii="Verdana" w:eastAsia="Gill Sans MT" w:hAnsi="Verdana"/>
                <w:sz w:val="24"/>
                <w:szCs w:val="24"/>
              </w:rPr>
            </w:pPr>
            <w:r w:rsidRPr="003F2151">
              <w:rPr>
                <w:rFonts w:ascii="Verdana" w:eastAsia="Gill Sans MT" w:hAnsi="Verdana"/>
                <w:sz w:val="24"/>
                <w:szCs w:val="24"/>
              </w:rPr>
              <w:t>Extensive knowledge of the effects and disability and chronic illness on children and families.</w:t>
            </w:r>
          </w:p>
          <w:p w14:paraId="353112E7" w14:textId="77777777" w:rsidR="00A969A0" w:rsidRPr="003F2151" w:rsidRDefault="00A969A0" w:rsidP="00A969A0">
            <w:pPr>
              <w:jc w:val="both"/>
              <w:rPr>
                <w:rFonts w:ascii="Verdana" w:eastAsia="Gill Sans MT" w:hAnsi="Verdana"/>
                <w:sz w:val="24"/>
                <w:szCs w:val="24"/>
              </w:rPr>
            </w:pPr>
          </w:p>
          <w:p w14:paraId="36AEE895" w14:textId="77777777" w:rsidR="00A969A0" w:rsidRPr="003F2151" w:rsidRDefault="00A969A0" w:rsidP="00A969A0">
            <w:pPr>
              <w:numPr>
                <w:ilvl w:val="0"/>
                <w:numId w:val="19"/>
              </w:numPr>
              <w:spacing w:after="0" w:line="240" w:lineRule="auto"/>
              <w:jc w:val="both"/>
              <w:rPr>
                <w:rFonts w:ascii="Verdana" w:eastAsia="Gill Sans MT" w:hAnsi="Verdana"/>
                <w:sz w:val="24"/>
                <w:szCs w:val="24"/>
              </w:rPr>
            </w:pPr>
            <w:r w:rsidRPr="003F2151">
              <w:rPr>
                <w:rFonts w:ascii="Verdana" w:eastAsia="Gill Sans MT" w:hAnsi="Verdana"/>
                <w:sz w:val="24"/>
                <w:szCs w:val="24"/>
              </w:rPr>
              <w:t>Relevant training and experience in safeguarding.</w:t>
            </w:r>
          </w:p>
          <w:p w14:paraId="6F1D6C99" w14:textId="77777777" w:rsidR="00A969A0" w:rsidRPr="003F2151" w:rsidRDefault="00A969A0" w:rsidP="00A969A0">
            <w:pPr>
              <w:jc w:val="both"/>
              <w:rPr>
                <w:rFonts w:ascii="Verdana" w:eastAsia="Gill Sans MT" w:hAnsi="Verdana"/>
                <w:sz w:val="24"/>
                <w:szCs w:val="24"/>
              </w:rPr>
            </w:pPr>
          </w:p>
          <w:p w14:paraId="56DC2CEE" w14:textId="77777777" w:rsidR="00A969A0" w:rsidRPr="003F2151" w:rsidRDefault="00A969A0" w:rsidP="00A969A0">
            <w:pPr>
              <w:numPr>
                <w:ilvl w:val="0"/>
                <w:numId w:val="19"/>
              </w:numPr>
              <w:spacing w:after="0" w:line="240" w:lineRule="auto"/>
              <w:jc w:val="both"/>
              <w:rPr>
                <w:rFonts w:ascii="Verdana" w:eastAsia="Gill Sans MT" w:hAnsi="Verdana"/>
                <w:sz w:val="24"/>
                <w:szCs w:val="24"/>
              </w:rPr>
            </w:pPr>
            <w:r w:rsidRPr="003F2151">
              <w:rPr>
                <w:rFonts w:ascii="Verdana" w:eastAsia="Gill Sans MT" w:hAnsi="Verdana"/>
                <w:sz w:val="24"/>
                <w:szCs w:val="24"/>
              </w:rPr>
              <w:t xml:space="preserve">Experience in a wide range of aspects of the social work role across the Children’s Social Care System. </w:t>
            </w:r>
          </w:p>
          <w:p w14:paraId="088E1817" w14:textId="77777777" w:rsidR="00A969A0" w:rsidRPr="003F2151" w:rsidRDefault="00A969A0" w:rsidP="00A969A0">
            <w:pPr>
              <w:pStyle w:val="ListParagraph"/>
              <w:rPr>
                <w:rFonts w:ascii="Verdana" w:eastAsia="Gill Sans MT" w:hAnsi="Verdana"/>
                <w:sz w:val="24"/>
                <w:szCs w:val="24"/>
              </w:rPr>
            </w:pPr>
          </w:p>
          <w:p w14:paraId="5F7A3B4C" w14:textId="1505ED02" w:rsidR="003F2151" w:rsidRPr="003F2151" w:rsidRDefault="00A969A0" w:rsidP="003F2151">
            <w:pPr>
              <w:numPr>
                <w:ilvl w:val="0"/>
                <w:numId w:val="19"/>
              </w:numPr>
              <w:spacing w:after="0" w:line="240" w:lineRule="auto"/>
              <w:jc w:val="both"/>
              <w:rPr>
                <w:rFonts w:ascii="Verdana" w:eastAsia="Gill Sans MT" w:hAnsi="Verdana"/>
                <w:sz w:val="24"/>
                <w:szCs w:val="24"/>
              </w:rPr>
            </w:pPr>
            <w:r w:rsidRPr="003F2151">
              <w:rPr>
                <w:rFonts w:ascii="Verdana" w:eastAsia="Gill Sans MT" w:hAnsi="Verdana"/>
                <w:sz w:val="24"/>
                <w:szCs w:val="24"/>
              </w:rPr>
              <w:t xml:space="preserve">Ability at a higher level to initiate and develop close working partnerships with statutory, </w:t>
            </w:r>
            <w:r w:rsidR="003F2151" w:rsidRPr="003F2151">
              <w:rPr>
                <w:rFonts w:ascii="Verdana" w:eastAsia="Gill Sans MT" w:hAnsi="Verdana"/>
                <w:sz w:val="24"/>
                <w:szCs w:val="24"/>
              </w:rPr>
              <w:t>voluntary,</w:t>
            </w:r>
            <w:r w:rsidRPr="003F2151">
              <w:rPr>
                <w:rFonts w:ascii="Verdana" w:eastAsia="Gill Sans MT" w:hAnsi="Verdana"/>
                <w:sz w:val="24"/>
                <w:szCs w:val="24"/>
              </w:rPr>
              <w:t xml:space="preserve"> and private agencies to gather/share information </w:t>
            </w:r>
            <w:proofErr w:type="gramStart"/>
            <w:r w:rsidRPr="003F2151">
              <w:rPr>
                <w:rFonts w:ascii="Verdana" w:eastAsia="Gill Sans MT" w:hAnsi="Verdana"/>
                <w:sz w:val="24"/>
                <w:szCs w:val="24"/>
              </w:rPr>
              <w:t>in order to</w:t>
            </w:r>
            <w:proofErr w:type="gramEnd"/>
            <w:r w:rsidRPr="003F2151">
              <w:rPr>
                <w:rFonts w:ascii="Verdana" w:eastAsia="Gill Sans MT" w:hAnsi="Verdana"/>
                <w:sz w:val="24"/>
                <w:szCs w:val="24"/>
              </w:rPr>
              <w:t xml:space="preserve"> facilitate decision making for effective service delivery.</w:t>
            </w:r>
          </w:p>
          <w:p w14:paraId="186B0F1C" w14:textId="77777777" w:rsidR="003F2151" w:rsidRPr="003F2151" w:rsidRDefault="003F2151" w:rsidP="003F2151">
            <w:pPr>
              <w:rPr>
                <w:rFonts w:ascii="Arial" w:hAnsi="Arial"/>
              </w:rPr>
            </w:pPr>
          </w:p>
        </w:tc>
        <w:tc>
          <w:tcPr>
            <w:tcW w:w="1946" w:type="dxa"/>
          </w:tcPr>
          <w:p w14:paraId="3AE6E031" w14:textId="77777777" w:rsidR="0041456C" w:rsidRDefault="0041456C" w:rsidP="00D81FE9">
            <w:pPr>
              <w:ind w:right="774"/>
              <w:rPr>
                <w:rFonts w:ascii="Gill Sans MT" w:eastAsia="Gill Sans MT" w:hAnsi="Gill Sans MT"/>
              </w:rPr>
            </w:pPr>
          </w:p>
          <w:p w14:paraId="3A8FADCD" w14:textId="77777777" w:rsidR="00A969A0" w:rsidRDefault="00A969A0" w:rsidP="00D81FE9">
            <w:pPr>
              <w:ind w:right="774"/>
              <w:rPr>
                <w:rFonts w:ascii="Gill Sans MT" w:eastAsia="Gill Sans MT" w:hAnsi="Gill Sans MT"/>
              </w:rPr>
            </w:pPr>
            <w:r>
              <w:rPr>
                <w:rFonts w:ascii="Gill Sans MT" w:eastAsia="Gill Sans MT" w:hAnsi="Gill Sans MT"/>
              </w:rPr>
              <w:t>A</w:t>
            </w:r>
          </w:p>
          <w:p w14:paraId="1348C06B" w14:textId="77777777" w:rsidR="00A969A0" w:rsidRDefault="00A969A0" w:rsidP="00D81FE9">
            <w:pPr>
              <w:ind w:right="774"/>
              <w:rPr>
                <w:rFonts w:ascii="Gill Sans MT" w:eastAsia="Gill Sans MT" w:hAnsi="Gill Sans MT"/>
              </w:rPr>
            </w:pPr>
          </w:p>
          <w:p w14:paraId="38F536EA" w14:textId="77777777" w:rsidR="00A969A0" w:rsidRDefault="00A969A0" w:rsidP="00D81FE9">
            <w:pPr>
              <w:ind w:right="774"/>
              <w:rPr>
                <w:rFonts w:ascii="Gill Sans MT" w:eastAsia="Gill Sans MT" w:hAnsi="Gill Sans MT"/>
              </w:rPr>
            </w:pPr>
            <w:r>
              <w:rPr>
                <w:rFonts w:ascii="Gill Sans MT" w:eastAsia="Gill Sans MT" w:hAnsi="Gill Sans MT"/>
              </w:rPr>
              <w:t>A/I</w:t>
            </w:r>
          </w:p>
          <w:p w14:paraId="22580E49" w14:textId="77777777" w:rsidR="00A969A0" w:rsidRDefault="00A969A0" w:rsidP="00D81FE9">
            <w:pPr>
              <w:ind w:right="774"/>
              <w:rPr>
                <w:rFonts w:ascii="Gill Sans MT" w:eastAsia="Gill Sans MT" w:hAnsi="Gill Sans MT"/>
              </w:rPr>
            </w:pPr>
          </w:p>
          <w:p w14:paraId="60FE3719" w14:textId="77777777" w:rsidR="00A969A0" w:rsidRDefault="00A969A0" w:rsidP="00D81FE9">
            <w:pPr>
              <w:ind w:right="774"/>
              <w:rPr>
                <w:rFonts w:ascii="Gill Sans MT" w:eastAsia="Gill Sans MT" w:hAnsi="Gill Sans MT"/>
              </w:rPr>
            </w:pPr>
          </w:p>
          <w:p w14:paraId="7F4B698F" w14:textId="77777777" w:rsidR="00A969A0" w:rsidRDefault="00A969A0" w:rsidP="00D81FE9">
            <w:pPr>
              <w:ind w:right="774"/>
              <w:rPr>
                <w:rFonts w:ascii="Gill Sans MT" w:eastAsia="Gill Sans MT" w:hAnsi="Gill Sans MT"/>
              </w:rPr>
            </w:pPr>
            <w:r>
              <w:rPr>
                <w:rFonts w:ascii="Gill Sans MT" w:eastAsia="Gill Sans MT" w:hAnsi="Gill Sans MT"/>
              </w:rPr>
              <w:t>A/I</w:t>
            </w:r>
          </w:p>
          <w:p w14:paraId="07A8FC18" w14:textId="77777777" w:rsidR="00A969A0" w:rsidRDefault="00A969A0" w:rsidP="00D81FE9">
            <w:pPr>
              <w:ind w:right="774"/>
              <w:rPr>
                <w:rFonts w:ascii="Gill Sans MT" w:eastAsia="Gill Sans MT" w:hAnsi="Gill Sans MT"/>
              </w:rPr>
            </w:pPr>
          </w:p>
          <w:p w14:paraId="6AC23381" w14:textId="77777777" w:rsidR="00A969A0" w:rsidRDefault="00A969A0" w:rsidP="00D81FE9">
            <w:pPr>
              <w:ind w:right="774"/>
              <w:rPr>
                <w:rFonts w:ascii="Gill Sans MT" w:eastAsia="Gill Sans MT" w:hAnsi="Gill Sans MT"/>
              </w:rPr>
            </w:pPr>
            <w:r>
              <w:rPr>
                <w:rFonts w:ascii="Gill Sans MT" w:eastAsia="Gill Sans MT" w:hAnsi="Gill Sans MT"/>
              </w:rPr>
              <w:t>A/I</w:t>
            </w:r>
          </w:p>
          <w:p w14:paraId="006AF6EA" w14:textId="77777777" w:rsidR="00A969A0" w:rsidRDefault="00A969A0" w:rsidP="00D81FE9">
            <w:pPr>
              <w:ind w:right="774"/>
              <w:rPr>
                <w:rFonts w:ascii="Gill Sans MT" w:eastAsia="Gill Sans MT" w:hAnsi="Gill Sans MT"/>
              </w:rPr>
            </w:pPr>
          </w:p>
          <w:p w14:paraId="7154A5E0" w14:textId="77777777" w:rsidR="00A969A0" w:rsidRDefault="00A969A0" w:rsidP="00D81FE9">
            <w:pPr>
              <w:ind w:right="774"/>
              <w:rPr>
                <w:rFonts w:ascii="Gill Sans MT" w:eastAsia="Gill Sans MT" w:hAnsi="Gill Sans MT"/>
              </w:rPr>
            </w:pPr>
            <w:r>
              <w:rPr>
                <w:rFonts w:ascii="Gill Sans MT" w:eastAsia="Gill Sans MT" w:hAnsi="Gill Sans MT"/>
              </w:rPr>
              <w:t>A/I</w:t>
            </w:r>
          </w:p>
          <w:p w14:paraId="781C820B" w14:textId="77777777" w:rsidR="00A969A0" w:rsidRDefault="00A969A0" w:rsidP="00D81FE9">
            <w:pPr>
              <w:ind w:right="774"/>
              <w:rPr>
                <w:rFonts w:ascii="Gill Sans MT" w:eastAsia="Gill Sans MT" w:hAnsi="Gill Sans MT"/>
              </w:rPr>
            </w:pPr>
          </w:p>
          <w:p w14:paraId="21BE0B40" w14:textId="77777777" w:rsidR="00A969A0" w:rsidRDefault="00A969A0" w:rsidP="00D81FE9">
            <w:pPr>
              <w:ind w:right="774"/>
              <w:rPr>
                <w:rFonts w:ascii="Gill Sans MT" w:eastAsia="Gill Sans MT" w:hAnsi="Gill Sans MT"/>
              </w:rPr>
            </w:pPr>
            <w:r>
              <w:rPr>
                <w:rFonts w:ascii="Gill Sans MT" w:eastAsia="Gill Sans MT" w:hAnsi="Gill Sans MT"/>
              </w:rPr>
              <w:t>A/I</w:t>
            </w:r>
          </w:p>
          <w:p w14:paraId="4439C33B" w14:textId="77777777" w:rsidR="00A969A0" w:rsidRDefault="00A969A0" w:rsidP="00D81FE9">
            <w:pPr>
              <w:ind w:right="774"/>
              <w:rPr>
                <w:rFonts w:ascii="Gill Sans MT" w:eastAsia="Gill Sans MT" w:hAnsi="Gill Sans MT"/>
              </w:rPr>
            </w:pPr>
          </w:p>
          <w:p w14:paraId="7D861C27" w14:textId="77777777" w:rsidR="00A969A0" w:rsidRDefault="00A969A0" w:rsidP="00D81FE9">
            <w:pPr>
              <w:ind w:right="774"/>
              <w:rPr>
                <w:rFonts w:ascii="Gill Sans MT" w:eastAsia="Gill Sans MT" w:hAnsi="Gill Sans MT"/>
              </w:rPr>
            </w:pPr>
            <w:r>
              <w:rPr>
                <w:rFonts w:ascii="Gill Sans MT" w:eastAsia="Gill Sans MT" w:hAnsi="Gill Sans MT"/>
              </w:rPr>
              <w:t>A/I</w:t>
            </w:r>
          </w:p>
          <w:p w14:paraId="309FB1FC" w14:textId="77777777" w:rsidR="00A969A0" w:rsidRDefault="00A969A0" w:rsidP="00D81FE9">
            <w:pPr>
              <w:ind w:right="774"/>
              <w:rPr>
                <w:rFonts w:ascii="Gill Sans MT" w:eastAsia="Gill Sans MT" w:hAnsi="Gill Sans MT"/>
              </w:rPr>
            </w:pPr>
          </w:p>
          <w:p w14:paraId="1F3A79D1" w14:textId="77777777" w:rsidR="00A969A0" w:rsidRDefault="00A969A0" w:rsidP="00D81FE9">
            <w:pPr>
              <w:ind w:right="774"/>
              <w:rPr>
                <w:rFonts w:ascii="Gill Sans MT" w:eastAsia="Gill Sans MT" w:hAnsi="Gill Sans MT"/>
              </w:rPr>
            </w:pPr>
            <w:r>
              <w:rPr>
                <w:rFonts w:ascii="Gill Sans MT" w:eastAsia="Gill Sans MT" w:hAnsi="Gill Sans MT"/>
              </w:rPr>
              <w:t>A/I</w:t>
            </w:r>
          </w:p>
          <w:p w14:paraId="7E93DF5B" w14:textId="77777777" w:rsidR="00A969A0" w:rsidRDefault="00A969A0" w:rsidP="00D81FE9">
            <w:pPr>
              <w:ind w:right="774"/>
              <w:rPr>
                <w:rFonts w:ascii="Gill Sans MT" w:eastAsia="Gill Sans MT" w:hAnsi="Gill Sans MT"/>
              </w:rPr>
            </w:pPr>
          </w:p>
          <w:p w14:paraId="68E1BA4A" w14:textId="77777777" w:rsidR="00A969A0" w:rsidRDefault="00A969A0" w:rsidP="00D81FE9">
            <w:pPr>
              <w:ind w:right="774"/>
              <w:rPr>
                <w:rFonts w:ascii="Gill Sans MT" w:eastAsia="Gill Sans MT" w:hAnsi="Gill Sans MT"/>
              </w:rPr>
            </w:pPr>
            <w:r>
              <w:rPr>
                <w:rFonts w:ascii="Gill Sans MT" w:eastAsia="Gill Sans MT" w:hAnsi="Gill Sans MT"/>
              </w:rPr>
              <w:t>A/I</w:t>
            </w:r>
          </w:p>
          <w:p w14:paraId="48C3B56D" w14:textId="77777777" w:rsidR="00A969A0" w:rsidRDefault="00A969A0" w:rsidP="00D81FE9">
            <w:pPr>
              <w:ind w:right="774"/>
              <w:rPr>
                <w:rFonts w:ascii="Gill Sans MT" w:eastAsia="Gill Sans MT" w:hAnsi="Gill Sans MT"/>
              </w:rPr>
            </w:pPr>
          </w:p>
          <w:p w14:paraId="73459890" w14:textId="217A478D" w:rsidR="00A969A0" w:rsidRPr="0041456C" w:rsidRDefault="00A969A0" w:rsidP="00D81FE9">
            <w:pPr>
              <w:ind w:right="774"/>
              <w:rPr>
                <w:rFonts w:ascii="Gill Sans MT" w:eastAsia="Gill Sans MT" w:hAnsi="Gill Sans MT"/>
              </w:rPr>
            </w:pPr>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5E104729" w14:textId="77777777" w:rsidR="003F2151" w:rsidRDefault="003F2151" w:rsidP="00D81FE9">
            <w:pPr>
              <w:spacing w:after="0" w:line="240" w:lineRule="auto"/>
              <w:ind w:right="774"/>
              <w:jc w:val="both"/>
              <w:rPr>
                <w:rFonts w:ascii="Gill Sans MT" w:eastAsia="Gill Sans MT" w:hAnsi="Gill Sans MT" w:cs="Arial"/>
                <w:b/>
                <w:sz w:val="24"/>
                <w:szCs w:val="24"/>
                <w:lang w:val="en-GB"/>
              </w:rPr>
            </w:pPr>
          </w:p>
          <w:p w14:paraId="46451DE1" w14:textId="20762115" w:rsidR="003F2151" w:rsidRPr="003F2151" w:rsidRDefault="003F2151" w:rsidP="003F2151">
            <w:pPr>
              <w:ind w:right="105"/>
              <w:jc w:val="both"/>
              <w:rPr>
                <w:rFonts w:ascii="Verdana" w:hAnsi="Verdana"/>
                <w:sz w:val="24"/>
                <w:szCs w:val="24"/>
              </w:rPr>
            </w:pPr>
            <w:r w:rsidRPr="003F2151">
              <w:rPr>
                <w:rFonts w:ascii="Verdana" w:hAnsi="Verdana"/>
                <w:sz w:val="24"/>
                <w:szCs w:val="24"/>
              </w:rPr>
              <w:t xml:space="preserve">This post is designated as essential car user. </w:t>
            </w:r>
          </w:p>
          <w:p w14:paraId="1D5D274C" w14:textId="77777777" w:rsidR="003F2151" w:rsidRPr="0041456C" w:rsidRDefault="003F2151" w:rsidP="00D81FE9">
            <w:pPr>
              <w:spacing w:after="0" w:line="240" w:lineRule="auto"/>
              <w:ind w:right="774"/>
              <w:jc w:val="both"/>
              <w:rPr>
                <w:rFonts w:ascii="Gill Sans MT" w:eastAsia="Gill Sans MT" w:hAnsi="Gill Sans MT" w:cs="Arial"/>
                <w:b/>
                <w:sz w:val="24"/>
                <w:szCs w:val="24"/>
                <w:lang w:val="en-GB"/>
              </w:rPr>
            </w:pPr>
          </w:p>
          <w:p w14:paraId="7AD346B0" w14:textId="2E2E79FD" w:rsidR="003F2151" w:rsidRPr="003F2151" w:rsidRDefault="003F2151" w:rsidP="003F2151">
            <w:pPr>
              <w:numPr>
                <w:ilvl w:val="0"/>
                <w:numId w:val="19"/>
              </w:numPr>
              <w:spacing w:after="0" w:line="240" w:lineRule="auto"/>
              <w:rPr>
                <w:rFonts w:ascii="Verdana" w:eastAsia="Gill Sans MT" w:hAnsi="Verdana"/>
                <w:sz w:val="24"/>
                <w:szCs w:val="24"/>
              </w:rPr>
            </w:pPr>
            <w:r w:rsidRPr="003F2151">
              <w:rPr>
                <w:rFonts w:ascii="Verdana" w:eastAsia="Gill Sans MT" w:hAnsi="Verdana"/>
                <w:sz w:val="24"/>
                <w:szCs w:val="24"/>
              </w:rPr>
              <w:t>An ability to undertake high quality complex assessments, planning, monitoring, and review of individual cases.</w:t>
            </w:r>
          </w:p>
          <w:p w14:paraId="164BC766" w14:textId="77777777" w:rsidR="003F2151" w:rsidRPr="003F2151" w:rsidRDefault="003F2151" w:rsidP="003F2151">
            <w:pPr>
              <w:rPr>
                <w:rFonts w:ascii="Verdana" w:eastAsia="Gill Sans MT" w:hAnsi="Verdana"/>
                <w:sz w:val="24"/>
                <w:szCs w:val="24"/>
              </w:rPr>
            </w:pPr>
          </w:p>
          <w:p w14:paraId="742D5876" w14:textId="77777777" w:rsidR="003F2151" w:rsidRPr="003F2151" w:rsidRDefault="003F2151" w:rsidP="003F2151">
            <w:pPr>
              <w:numPr>
                <w:ilvl w:val="0"/>
                <w:numId w:val="19"/>
              </w:numPr>
              <w:spacing w:after="0" w:line="240" w:lineRule="auto"/>
              <w:rPr>
                <w:rFonts w:ascii="Verdana" w:eastAsia="Gill Sans MT" w:hAnsi="Verdana"/>
                <w:sz w:val="24"/>
                <w:szCs w:val="24"/>
              </w:rPr>
            </w:pPr>
            <w:r w:rsidRPr="003F2151">
              <w:rPr>
                <w:rFonts w:ascii="Verdana" w:eastAsia="Gill Sans MT" w:hAnsi="Verdana"/>
                <w:sz w:val="24"/>
                <w:szCs w:val="24"/>
              </w:rPr>
              <w:t>Able to use highly developed communication skills to confidently present complex/sensitive information in an understandable way, adapting the style to a range of audiences.</w:t>
            </w:r>
          </w:p>
          <w:p w14:paraId="0AA7A0DB" w14:textId="77777777" w:rsidR="003F2151" w:rsidRPr="003F2151" w:rsidRDefault="003F2151" w:rsidP="003F2151">
            <w:pPr>
              <w:rPr>
                <w:rFonts w:ascii="Verdana" w:eastAsia="Gill Sans MT" w:hAnsi="Verdana"/>
                <w:sz w:val="24"/>
                <w:szCs w:val="24"/>
              </w:rPr>
            </w:pPr>
          </w:p>
          <w:p w14:paraId="5BD299F2" w14:textId="77777777" w:rsidR="003F2151" w:rsidRPr="003F2151" w:rsidRDefault="003F2151" w:rsidP="003F2151">
            <w:pPr>
              <w:numPr>
                <w:ilvl w:val="0"/>
                <w:numId w:val="19"/>
              </w:numPr>
              <w:spacing w:after="0" w:line="240" w:lineRule="auto"/>
              <w:jc w:val="both"/>
              <w:rPr>
                <w:rFonts w:ascii="Verdana" w:eastAsia="Gill Sans MT" w:hAnsi="Verdana"/>
                <w:sz w:val="24"/>
                <w:szCs w:val="24"/>
              </w:rPr>
            </w:pPr>
            <w:r w:rsidRPr="003F2151">
              <w:rPr>
                <w:rFonts w:ascii="Verdana" w:eastAsia="Gill Sans MT" w:hAnsi="Verdana"/>
                <w:sz w:val="24"/>
                <w:szCs w:val="24"/>
              </w:rPr>
              <w:t>Demonstrate at a higher level the ability to undertake direct work with children and their families using a range of evidence-based models.</w:t>
            </w:r>
          </w:p>
          <w:p w14:paraId="3968AF15" w14:textId="77777777" w:rsidR="003F2151" w:rsidRPr="003F2151" w:rsidRDefault="003F2151" w:rsidP="003F2151">
            <w:pPr>
              <w:jc w:val="both"/>
              <w:rPr>
                <w:rFonts w:ascii="Verdana" w:eastAsia="Gill Sans MT" w:hAnsi="Verdana"/>
                <w:sz w:val="24"/>
                <w:szCs w:val="24"/>
              </w:rPr>
            </w:pPr>
          </w:p>
          <w:p w14:paraId="00118E20" w14:textId="77777777" w:rsidR="003F2151" w:rsidRPr="003F2151" w:rsidRDefault="003F2151" w:rsidP="003F2151">
            <w:pPr>
              <w:numPr>
                <w:ilvl w:val="0"/>
                <w:numId w:val="19"/>
              </w:numPr>
              <w:spacing w:after="0" w:line="240" w:lineRule="auto"/>
              <w:jc w:val="both"/>
              <w:rPr>
                <w:rFonts w:ascii="Verdana" w:eastAsia="Gill Sans MT" w:hAnsi="Verdana"/>
                <w:sz w:val="24"/>
                <w:szCs w:val="24"/>
              </w:rPr>
            </w:pPr>
            <w:r w:rsidRPr="003F2151">
              <w:rPr>
                <w:rFonts w:ascii="Verdana" w:eastAsia="Gill Sans MT" w:hAnsi="Verdana"/>
                <w:sz w:val="24"/>
                <w:szCs w:val="24"/>
              </w:rPr>
              <w:lastRenderedPageBreak/>
              <w:t xml:space="preserve">Demonstrable ability to self-time </w:t>
            </w:r>
            <w:proofErr w:type="gramStart"/>
            <w:r w:rsidRPr="003F2151">
              <w:rPr>
                <w:rFonts w:ascii="Verdana" w:eastAsia="Gill Sans MT" w:hAnsi="Verdana"/>
                <w:sz w:val="24"/>
                <w:szCs w:val="24"/>
              </w:rPr>
              <w:t>manage</w:t>
            </w:r>
            <w:proofErr w:type="gramEnd"/>
            <w:r w:rsidRPr="003F2151">
              <w:rPr>
                <w:rFonts w:ascii="Verdana" w:eastAsia="Gill Sans MT" w:hAnsi="Verdana"/>
                <w:sz w:val="24"/>
                <w:szCs w:val="24"/>
              </w:rPr>
              <w:t xml:space="preserve"> and assist social care staff to time manage.</w:t>
            </w:r>
          </w:p>
          <w:p w14:paraId="3C861EC4" w14:textId="77777777" w:rsidR="003F2151" w:rsidRPr="003F2151" w:rsidRDefault="003F2151" w:rsidP="003F2151">
            <w:pPr>
              <w:jc w:val="both"/>
              <w:rPr>
                <w:rFonts w:ascii="Verdana" w:eastAsia="Gill Sans MT" w:hAnsi="Verdana"/>
                <w:sz w:val="24"/>
                <w:szCs w:val="24"/>
              </w:rPr>
            </w:pPr>
          </w:p>
          <w:p w14:paraId="00572771" w14:textId="77777777" w:rsidR="003F2151" w:rsidRPr="003F2151" w:rsidRDefault="003F2151" w:rsidP="003F2151">
            <w:pPr>
              <w:numPr>
                <w:ilvl w:val="0"/>
                <w:numId w:val="19"/>
              </w:numPr>
              <w:spacing w:after="0" w:line="240" w:lineRule="auto"/>
              <w:jc w:val="both"/>
              <w:rPr>
                <w:rFonts w:ascii="Verdana" w:eastAsia="Gill Sans MT" w:hAnsi="Verdana"/>
                <w:sz w:val="24"/>
                <w:szCs w:val="24"/>
              </w:rPr>
            </w:pPr>
            <w:r w:rsidRPr="003F2151">
              <w:rPr>
                <w:rFonts w:ascii="Verdana" w:eastAsia="Gill Sans MT" w:hAnsi="Verdana"/>
                <w:sz w:val="24"/>
                <w:szCs w:val="24"/>
              </w:rPr>
              <w:t>Ability to facilitate the learning of students, supporting newly qualified social workers in practice.</w:t>
            </w:r>
          </w:p>
          <w:p w14:paraId="2A90B9D2" w14:textId="77777777" w:rsidR="003F2151" w:rsidRPr="003F2151" w:rsidRDefault="003F2151" w:rsidP="003F2151">
            <w:pPr>
              <w:jc w:val="both"/>
              <w:rPr>
                <w:rFonts w:ascii="Verdana" w:eastAsia="Gill Sans MT" w:hAnsi="Verdana"/>
                <w:sz w:val="24"/>
                <w:szCs w:val="24"/>
              </w:rPr>
            </w:pPr>
          </w:p>
          <w:p w14:paraId="0D3587BB" w14:textId="77777777" w:rsidR="003F2151" w:rsidRPr="003F2151" w:rsidRDefault="003F2151" w:rsidP="003F2151">
            <w:pPr>
              <w:numPr>
                <w:ilvl w:val="0"/>
                <w:numId w:val="19"/>
              </w:numPr>
              <w:spacing w:after="0" w:line="240" w:lineRule="auto"/>
              <w:rPr>
                <w:rFonts w:ascii="Verdana" w:eastAsia="Gill Sans MT" w:hAnsi="Verdana"/>
                <w:sz w:val="24"/>
                <w:szCs w:val="24"/>
              </w:rPr>
            </w:pPr>
            <w:r w:rsidRPr="003F2151">
              <w:rPr>
                <w:rFonts w:ascii="Verdana" w:eastAsia="Gill Sans MT" w:hAnsi="Verdana"/>
                <w:sz w:val="24"/>
                <w:szCs w:val="24"/>
              </w:rPr>
              <w:t>The ability to work as part of a team and to contribute to the development of services through a team approach.</w:t>
            </w:r>
          </w:p>
          <w:p w14:paraId="59A4DC03" w14:textId="77777777" w:rsidR="003F2151" w:rsidRPr="003F2151" w:rsidRDefault="003F2151" w:rsidP="003F2151">
            <w:pPr>
              <w:rPr>
                <w:rFonts w:ascii="Verdana" w:eastAsia="Gill Sans MT" w:hAnsi="Verdana"/>
                <w:sz w:val="24"/>
                <w:szCs w:val="24"/>
              </w:rPr>
            </w:pPr>
          </w:p>
          <w:p w14:paraId="24993915" w14:textId="77777777" w:rsidR="003F2151" w:rsidRPr="003F2151" w:rsidRDefault="003F2151" w:rsidP="003F2151">
            <w:pPr>
              <w:numPr>
                <w:ilvl w:val="0"/>
                <w:numId w:val="19"/>
              </w:numPr>
              <w:spacing w:after="0" w:line="240" w:lineRule="auto"/>
              <w:jc w:val="both"/>
              <w:rPr>
                <w:rFonts w:ascii="Verdana" w:eastAsia="Gill Sans MT" w:hAnsi="Verdana"/>
                <w:sz w:val="24"/>
                <w:szCs w:val="24"/>
              </w:rPr>
            </w:pPr>
            <w:r w:rsidRPr="003F2151">
              <w:rPr>
                <w:rFonts w:ascii="Verdana" w:eastAsia="Gill Sans MT" w:hAnsi="Verdana"/>
                <w:sz w:val="24"/>
                <w:szCs w:val="24"/>
              </w:rPr>
              <w:t>High standards of ICT literacy and skills.</w:t>
            </w:r>
          </w:p>
          <w:p w14:paraId="252F93E0" w14:textId="77777777" w:rsidR="003F2151" w:rsidRPr="007F42D6" w:rsidRDefault="003F2151" w:rsidP="003F2151">
            <w:pPr>
              <w:jc w:val="both"/>
              <w:rPr>
                <w:rFonts w:ascii="Gill Sans MT" w:eastAsia="Gill Sans MT" w:hAnsi="Gill Sans MT"/>
              </w:rPr>
            </w:pPr>
          </w:p>
          <w:p w14:paraId="0EFD44B0" w14:textId="50A9AE0E" w:rsidR="003F2151" w:rsidRPr="0041456C" w:rsidRDefault="003F2151" w:rsidP="00102B52">
            <w:pPr>
              <w:ind w:right="105"/>
              <w:jc w:val="both"/>
              <w:rPr>
                <w:rFonts w:ascii="Arial" w:hAnsi="Arial"/>
              </w:rPr>
            </w:pPr>
          </w:p>
        </w:tc>
        <w:tc>
          <w:tcPr>
            <w:tcW w:w="1946" w:type="dxa"/>
          </w:tcPr>
          <w:p w14:paraId="48F4025E" w14:textId="02EEA7D5" w:rsidR="0041456C" w:rsidRPr="0041456C" w:rsidRDefault="0041456C" w:rsidP="00D81FE9">
            <w:pPr>
              <w:ind w:right="774"/>
              <w:rPr>
                <w:rFonts w:ascii="Gill Sans MT" w:eastAsia="Gill Sans MT" w:hAnsi="Gill Sans MT"/>
              </w:rPr>
            </w:pPr>
          </w:p>
          <w:p w14:paraId="64058270" w14:textId="77777777" w:rsidR="0041456C" w:rsidRDefault="0041456C" w:rsidP="00D81FE9">
            <w:pPr>
              <w:ind w:right="774"/>
              <w:jc w:val="center"/>
              <w:rPr>
                <w:rFonts w:ascii="Gill Sans MT" w:eastAsia="Gill Sans MT" w:hAnsi="Gill Sans MT"/>
              </w:rPr>
            </w:pPr>
          </w:p>
          <w:p w14:paraId="765CE940" w14:textId="77777777" w:rsidR="003F2151" w:rsidRDefault="003F2151" w:rsidP="00D81FE9">
            <w:pPr>
              <w:ind w:right="774"/>
              <w:jc w:val="center"/>
              <w:rPr>
                <w:rFonts w:ascii="Gill Sans MT" w:eastAsia="Gill Sans MT" w:hAnsi="Gill Sans MT"/>
              </w:rPr>
            </w:pPr>
          </w:p>
          <w:p w14:paraId="2833FCA7" w14:textId="77777777" w:rsidR="003F2151" w:rsidRDefault="003F2151" w:rsidP="00D81FE9">
            <w:pPr>
              <w:ind w:right="774"/>
              <w:jc w:val="center"/>
              <w:rPr>
                <w:rFonts w:ascii="Gill Sans MT" w:eastAsia="Gill Sans MT" w:hAnsi="Gill Sans MT"/>
              </w:rPr>
            </w:pPr>
          </w:p>
          <w:p w14:paraId="64133705" w14:textId="77777777" w:rsidR="003F2151" w:rsidRDefault="003F2151" w:rsidP="003F2151">
            <w:pPr>
              <w:ind w:right="774"/>
              <w:rPr>
                <w:rFonts w:ascii="Gill Sans MT" w:eastAsia="Gill Sans MT" w:hAnsi="Gill Sans MT"/>
              </w:rPr>
            </w:pPr>
            <w:r>
              <w:rPr>
                <w:rFonts w:ascii="Gill Sans MT" w:eastAsia="Gill Sans MT" w:hAnsi="Gill Sans MT"/>
              </w:rPr>
              <w:t>A/I</w:t>
            </w:r>
          </w:p>
          <w:p w14:paraId="40CB33B4" w14:textId="77777777" w:rsidR="003F2151" w:rsidRDefault="003F2151" w:rsidP="003F2151">
            <w:pPr>
              <w:ind w:right="774"/>
              <w:rPr>
                <w:rFonts w:ascii="Gill Sans MT" w:eastAsia="Gill Sans MT" w:hAnsi="Gill Sans MT"/>
              </w:rPr>
            </w:pPr>
          </w:p>
          <w:p w14:paraId="7A3B1E91" w14:textId="77777777" w:rsidR="003F2151" w:rsidRDefault="003F2151" w:rsidP="003F2151">
            <w:pPr>
              <w:ind w:right="774"/>
              <w:rPr>
                <w:rFonts w:ascii="Gill Sans MT" w:eastAsia="Gill Sans MT" w:hAnsi="Gill Sans MT"/>
              </w:rPr>
            </w:pPr>
            <w:r>
              <w:rPr>
                <w:rFonts w:ascii="Gill Sans MT" w:eastAsia="Gill Sans MT" w:hAnsi="Gill Sans MT"/>
              </w:rPr>
              <w:t>A/I</w:t>
            </w:r>
          </w:p>
          <w:p w14:paraId="1BC822A2" w14:textId="77777777" w:rsidR="003F2151" w:rsidRDefault="003F2151" w:rsidP="003F2151">
            <w:pPr>
              <w:ind w:right="774"/>
              <w:rPr>
                <w:rFonts w:ascii="Gill Sans MT" w:eastAsia="Gill Sans MT" w:hAnsi="Gill Sans MT"/>
              </w:rPr>
            </w:pPr>
          </w:p>
          <w:p w14:paraId="63821074" w14:textId="77777777" w:rsidR="003F2151" w:rsidRDefault="003F2151" w:rsidP="003F2151">
            <w:pPr>
              <w:ind w:right="774"/>
              <w:rPr>
                <w:rFonts w:ascii="Gill Sans MT" w:eastAsia="Gill Sans MT" w:hAnsi="Gill Sans MT"/>
              </w:rPr>
            </w:pPr>
          </w:p>
          <w:p w14:paraId="07B3BF6E" w14:textId="77777777" w:rsidR="003F2151" w:rsidRDefault="003F2151" w:rsidP="003F2151">
            <w:pPr>
              <w:ind w:right="774"/>
              <w:rPr>
                <w:rFonts w:ascii="Gill Sans MT" w:eastAsia="Gill Sans MT" w:hAnsi="Gill Sans MT"/>
              </w:rPr>
            </w:pPr>
            <w:r>
              <w:rPr>
                <w:rFonts w:ascii="Gill Sans MT" w:eastAsia="Gill Sans MT" w:hAnsi="Gill Sans MT"/>
              </w:rPr>
              <w:t>A/I</w:t>
            </w:r>
          </w:p>
          <w:p w14:paraId="0BEC77D1" w14:textId="77777777" w:rsidR="003F2151" w:rsidRDefault="003F2151" w:rsidP="003F2151">
            <w:pPr>
              <w:ind w:right="774"/>
              <w:rPr>
                <w:rFonts w:ascii="Gill Sans MT" w:eastAsia="Gill Sans MT" w:hAnsi="Gill Sans MT"/>
              </w:rPr>
            </w:pPr>
          </w:p>
          <w:p w14:paraId="3FA0FB75" w14:textId="77777777" w:rsidR="003F2151" w:rsidRDefault="003F2151" w:rsidP="003F2151">
            <w:pPr>
              <w:ind w:right="774"/>
              <w:rPr>
                <w:rFonts w:ascii="Gill Sans MT" w:eastAsia="Gill Sans MT" w:hAnsi="Gill Sans MT"/>
              </w:rPr>
            </w:pPr>
          </w:p>
          <w:p w14:paraId="55BB6F40" w14:textId="77777777" w:rsidR="003F2151" w:rsidRDefault="003F2151" w:rsidP="003F2151">
            <w:pPr>
              <w:ind w:right="774"/>
              <w:rPr>
                <w:rFonts w:ascii="Gill Sans MT" w:eastAsia="Gill Sans MT" w:hAnsi="Gill Sans MT"/>
              </w:rPr>
            </w:pPr>
            <w:r>
              <w:rPr>
                <w:rFonts w:ascii="Gill Sans MT" w:eastAsia="Gill Sans MT" w:hAnsi="Gill Sans MT"/>
              </w:rPr>
              <w:lastRenderedPageBreak/>
              <w:t>A/I</w:t>
            </w:r>
          </w:p>
          <w:p w14:paraId="4ACF645F" w14:textId="77777777" w:rsidR="003F2151" w:rsidRDefault="003F2151" w:rsidP="003F2151">
            <w:pPr>
              <w:ind w:right="774"/>
              <w:rPr>
                <w:rFonts w:ascii="Gill Sans MT" w:eastAsia="Gill Sans MT" w:hAnsi="Gill Sans MT"/>
              </w:rPr>
            </w:pPr>
          </w:p>
          <w:p w14:paraId="6CEAA6DE" w14:textId="77777777" w:rsidR="003F2151" w:rsidRDefault="003F2151" w:rsidP="003F2151">
            <w:pPr>
              <w:ind w:right="774"/>
              <w:rPr>
                <w:rFonts w:ascii="Gill Sans MT" w:eastAsia="Gill Sans MT" w:hAnsi="Gill Sans MT"/>
              </w:rPr>
            </w:pPr>
          </w:p>
          <w:p w14:paraId="282EEC73" w14:textId="77777777" w:rsidR="003F2151" w:rsidRDefault="003F2151" w:rsidP="003F2151">
            <w:pPr>
              <w:ind w:right="774"/>
              <w:rPr>
                <w:rFonts w:ascii="Gill Sans MT" w:eastAsia="Gill Sans MT" w:hAnsi="Gill Sans MT"/>
              </w:rPr>
            </w:pPr>
            <w:r>
              <w:rPr>
                <w:rFonts w:ascii="Gill Sans MT" w:eastAsia="Gill Sans MT" w:hAnsi="Gill Sans MT"/>
              </w:rPr>
              <w:t>A/I</w:t>
            </w:r>
          </w:p>
          <w:p w14:paraId="2C07E856" w14:textId="77777777" w:rsidR="003F2151" w:rsidRDefault="003F2151" w:rsidP="003F2151">
            <w:pPr>
              <w:ind w:right="774"/>
              <w:rPr>
                <w:rFonts w:ascii="Gill Sans MT" w:eastAsia="Gill Sans MT" w:hAnsi="Gill Sans MT"/>
              </w:rPr>
            </w:pPr>
          </w:p>
          <w:p w14:paraId="6A6339C7" w14:textId="77777777" w:rsidR="003F2151" w:rsidRDefault="003F2151" w:rsidP="003F2151">
            <w:pPr>
              <w:ind w:right="774"/>
              <w:rPr>
                <w:rFonts w:ascii="Gill Sans MT" w:eastAsia="Gill Sans MT" w:hAnsi="Gill Sans MT"/>
              </w:rPr>
            </w:pPr>
            <w:r>
              <w:rPr>
                <w:rFonts w:ascii="Gill Sans MT" w:eastAsia="Gill Sans MT" w:hAnsi="Gill Sans MT"/>
              </w:rPr>
              <w:t>A/I</w:t>
            </w:r>
          </w:p>
          <w:p w14:paraId="21D48778" w14:textId="77777777" w:rsidR="003F2151" w:rsidRDefault="003F2151" w:rsidP="003F2151">
            <w:pPr>
              <w:ind w:right="774"/>
              <w:rPr>
                <w:rFonts w:ascii="Gill Sans MT" w:eastAsia="Gill Sans MT" w:hAnsi="Gill Sans MT"/>
              </w:rPr>
            </w:pPr>
          </w:p>
          <w:p w14:paraId="3835E27B" w14:textId="77777777" w:rsidR="003F2151" w:rsidRDefault="003F2151" w:rsidP="003F2151">
            <w:pPr>
              <w:ind w:right="774"/>
              <w:rPr>
                <w:rFonts w:ascii="Gill Sans MT" w:eastAsia="Gill Sans MT" w:hAnsi="Gill Sans MT"/>
              </w:rPr>
            </w:pPr>
          </w:p>
          <w:p w14:paraId="41C6BA5A" w14:textId="16D3CCC7" w:rsidR="003F2151" w:rsidRPr="0041456C" w:rsidRDefault="003F2151" w:rsidP="003F2151">
            <w:pPr>
              <w:ind w:right="774"/>
              <w:rPr>
                <w:rFonts w:ascii="Gill Sans MT" w:eastAsia="Gill Sans MT" w:hAnsi="Gill Sans MT"/>
              </w:rPr>
            </w:pPr>
            <w:r>
              <w:rPr>
                <w:rFonts w:ascii="Gill Sans MT" w:eastAsia="Gill Sans MT" w:hAnsi="Gill Sans MT"/>
              </w:rPr>
              <w:t>A/I</w:t>
            </w: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commentRangeStart w:id="6"/>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6"/>
      <w:r w:rsidR="002D413B">
        <w:rPr>
          <w:rStyle w:val="CommentReference"/>
          <w:rFonts w:ascii="Times New Roman" w:eastAsia="Times New Roman" w:hAnsi="Times New Roman" w:cs="Times New Roman"/>
          <w:lang w:val="en-GB"/>
        </w:rPr>
        <w:commentReference w:id="6"/>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816AA1">
      <w:headerReference w:type="default" r:id="rId17"/>
      <w:footerReference w:type="default" r:id="rId18"/>
      <w:pgSz w:w="11906" w:h="16838" w:code="9"/>
      <w:pgMar w:top="2268" w:right="926"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mith, Claire (Corporate)" w:date="2021-09-09T15:19:00Z" w:initials="SC(">
    <w:p w14:paraId="41978422" w14:textId="7DD0446E"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2" w:author="Smith, Claire (Corporate)" w:date="2023-09-13T08:39:00Z" w:initials="S(">
    <w:p w14:paraId="7A83EDE5" w14:textId="7D820929" w:rsidR="1B18E59A" w:rsidRDefault="1B18E59A">
      <w:pPr>
        <w:pStyle w:val="CommentText"/>
      </w:pPr>
      <w:r>
        <w:t>delete if not relevant</w:t>
      </w:r>
      <w:r>
        <w:rPr>
          <w:rStyle w:val="CommentReference"/>
        </w:rPr>
        <w:annotationRef/>
      </w:r>
    </w:p>
  </w:comment>
  <w:comment w:id="3"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4"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5"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6"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1"/>
  <w15:commentEx w15:paraId="7A83EDE5" w15:done="1"/>
  <w15:commentEx w15:paraId="6E75667E" w15:done="1"/>
  <w15:commentEx w15:paraId="7C8B532F" w15:done="1"/>
  <w15:commentEx w15:paraId="3D3842E2" w15:done="1"/>
  <w15:commentEx w15:paraId="47394C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FA9EC0" w16cex:dateUtc="2023-09-13T07:39:00Z"/>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7A83EDE5" w16cid:durableId="13FA9EC0"/>
  <w16cid:commentId w16cid:paraId="6E75667E" w16cid:durableId="24E4A4A7"/>
  <w16cid:commentId w16cid:paraId="7C8B532F" w16cid:durableId="24E4A4B5"/>
  <w16cid:commentId w16cid:paraId="3D3842E2" w16cid:durableId="24E4A4D3"/>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6D837" w14:textId="77777777" w:rsidR="007B2A58" w:rsidRDefault="007B2A58" w:rsidP="003E7AA3">
      <w:pPr>
        <w:spacing w:after="0" w:line="240" w:lineRule="auto"/>
      </w:pPr>
      <w:r>
        <w:separator/>
      </w:r>
    </w:p>
  </w:endnote>
  <w:endnote w:type="continuationSeparator" w:id="0">
    <w:p w14:paraId="3DF3BFC1" w14:textId="77777777" w:rsidR="007B2A58" w:rsidRDefault="007B2A58" w:rsidP="003E7AA3">
      <w:pPr>
        <w:spacing w:after="0" w:line="240" w:lineRule="auto"/>
      </w:pPr>
      <w:r>
        <w:continuationSeparator/>
      </w:r>
    </w:p>
  </w:endnote>
  <w:endnote w:type="continuationNotice" w:id="1">
    <w:p w14:paraId="45CF0C83" w14:textId="77777777" w:rsidR="007B2A58" w:rsidRDefault="007B2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ldhabi">
    <w:charset w:val="B2"/>
    <w:family w:val="auto"/>
    <w:pitch w:val="variable"/>
    <w:sig w:usb0="8000200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1F4B" w14:textId="77777777" w:rsidR="007B2A58" w:rsidRDefault="007B2A58" w:rsidP="003E7AA3">
      <w:pPr>
        <w:spacing w:after="0" w:line="240" w:lineRule="auto"/>
      </w:pPr>
      <w:r>
        <w:separator/>
      </w:r>
    </w:p>
  </w:footnote>
  <w:footnote w:type="continuationSeparator" w:id="0">
    <w:p w14:paraId="53FF7FD4" w14:textId="77777777" w:rsidR="007B2A58" w:rsidRDefault="007B2A58" w:rsidP="003E7AA3">
      <w:pPr>
        <w:spacing w:after="0" w:line="240" w:lineRule="auto"/>
      </w:pPr>
      <w:r>
        <w:continuationSeparator/>
      </w:r>
    </w:p>
  </w:footnote>
  <w:footnote w:type="continuationNotice" w:id="1">
    <w:p w14:paraId="719904AE" w14:textId="77777777" w:rsidR="007B2A58" w:rsidRDefault="007B2A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43645"/>
    <w:multiLevelType w:val="hybridMultilevel"/>
    <w:tmpl w:val="7BE2E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ED16E0"/>
    <w:multiLevelType w:val="hybridMultilevel"/>
    <w:tmpl w:val="6A583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0318E4"/>
    <w:multiLevelType w:val="hybridMultilevel"/>
    <w:tmpl w:val="839C6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6"/>
  </w:num>
  <w:num w:numId="5" w16cid:durableId="1964458954">
    <w:abstractNumId w:val="2"/>
  </w:num>
  <w:num w:numId="6" w16cid:durableId="1504541025">
    <w:abstractNumId w:val="15"/>
  </w:num>
  <w:num w:numId="7" w16cid:durableId="1903982057">
    <w:abstractNumId w:val="12"/>
  </w:num>
  <w:num w:numId="8" w16cid:durableId="280694580">
    <w:abstractNumId w:val="17"/>
  </w:num>
  <w:num w:numId="9" w16cid:durableId="1787309150">
    <w:abstractNumId w:val="8"/>
  </w:num>
  <w:num w:numId="10" w16cid:durableId="582565324">
    <w:abstractNumId w:val="0"/>
  </w:num>
  <w:num w:numId="11" w16cid:durableId="564296707">
    <w:abstractNumId w:val="4"/>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11"/>
  </w:num>
  <w:num w:numId="17" w16cid:durableId="438842229">
    <w:abstractNumId w:val="10"/>
  </w:num>
  <w:num w:numId="18" w16cid:durableId="1516266677">
    <w:abstractNumId w:val="14"/>
  </w:num>
  <w:num w:numId="19" w16cid:durableId="128025735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6086B"/>
    <w:rsid w:val="000B2785"/>
    <w:rsid w:val="000F5850"/>
    <w:rsid w:val="00102B52"/>
    <w:rsid w:val="00116C60"/>
    <w:rsid w:val="00141D89"/>
    <w:rsid w:val="00161FE8"/>
    <w:rsid w:val="001661A9"/>
    <w:rsid w:val="001667C8"/>
    <w:rsid w:val="001A15EA"/>
    <w:rsid w:val="001E5EB1"/>
    <w:rsid w:val="001F3113"/>
    <w:rsid w:val="0020240C"/>
    <w:rsid w:val="00213480"/>
    <w:rsid w:val="002141BE"/>
    <w:rsid w:val="0024586E"/>
    <w:rsid w:val="00261654"/>
    <w:rsid w:val="00265281"/>
    <w:rsid w:val="002B4738"/>
    <w:rsid w:val="002D237E"/>
    <w:rsid w:val="002D413B"/>
    <w:rsid w:val="002F6DE8"/>
    <w:rsid w:val="00316CA7"/>
    <w:rsid w:val="00337ED7"/>
    <w:rsid w:val="00366F6C"/>
    <w:rsid w:val="003739AB"/>
    <w:rsid w:val="003E7AA3"/>
    <w:rsid w:val="003F2151"/>
    <w:rsid w:val="003F50AB"/>
    <w:rsid w:val="0041456C"/>
    <w:rsid w:val="00465664"/>
    <w:rsid w:val="004C58E3"/>
    <w:rsid w:val="004E2C1E"/>
    <w:rsid w:val="005230D6"/>
    <w:rsid w:val="00535B0F"/>
    <w:rsid w:val="005740B1"/>
    <w:rsid w:val="00577B86"/>
    <w:rsid w:val="005D467F"/>
    <w:rsid w:val="00636F40"/>
    <w:rsid w:val="00671CC9"/>
    <w:rsid w:val="0070227B"/>
    <w:rsid w:val="00736BDC"/>
    <w:rsid w:val="00770B6C"/>
    <w:rsid w:val="00792EE5"/>
    <w:rsid w:val="00793921"/>
    <w:rsid w:val="00797BFE"/>
    <w:rsid w:val="007A6708"/>
    <w:rsid w:val="007B2A58"/>
    <w:rsid w:val="0080309F"/>
    <w:rsid w:val="00816AA1"/>
    <w:rsid w:val="00841A14"/>
    <w:rsid w:val="00872B70"/>
    <w:rsid w:val="008B4F3B"/>
    <w:rsid w:val="008E17A6"/>
    <w:rsid w:val="009446C3"/>
    <w:rsid w:val="0096580A"/>
    <w:rsid w:val="0097248E"/>
    <w:rsid w:val="00977EA1"/>
    <w:rsid w:val="0098215C"/>
    <w:rsid w:val="0099470D"/>
    <w:rsid w:val="009D51A0"/>
    <w:rsid w:val="00A34FE9"/>
    <w:rsid w:val="00A645DA"/>
    <w:rsid w:val="00A761DD"/>
    <w:rsid w:val="00A969A0"/>
    <w:rsid w:val="00AD6686"/>
    <w:rsid w:val="00AD7745"/>
    <w:rsid w:val="00B9509B"/>
    <w:rsid w:val="00BB233B"/>
    <w:rsid w:val="00C003AD"/>
    <w:rsid w:val="00C055B5"/>
    <w:rsid w:val="00C20BE9"/>
    <w:rsid w:val="00C302E9"/>
    <w:rsid w:val="00C86E78"/>
    <w:rsid w:val="00CA45C1"/>
    <w:rsid w:val="00CD038B"/>
    <w:rsid w:val="00CE77D4"/>
    <w:rsid w:val="00CF33CD"/>
    <w:rsid w:val="00D01CE1"/>
    <w:rsid w:val="00D05DC9"/>
    <w:rsid w:val="00D570E7"/>
    <w:rsid w:val="00D74D0E"/>
    <w:rsid w:val="00D81FE9"/>
    <w:rsid w:val="00DB70A1"/>
    <w:rsid w:val="00DF0A92"/>
    <w:rsid w:val="00E6698E"/>
    <w:rsid w:val="00EA422D"/>
    <w:rsid w:val="00EC0C4E"/>
    <w:rsid w:val="00EE50CC"/>
    <w:rsid w:val="00F72F3D"/>
    <w:rsid w:val="00FC632D"/>
    <w:rsid w:val="00FD1269"/>
    <w:rsid w:val="00FE28F9"/>
    <w:rsid w:val="00FE537E"/>
    <w:rsid w:val="02970591"/>
    <w:rsid w:val="0306DE1A"/>
    <w:rsid w:val="044317F1"/>
    <w:rsid w:val="065245B9"/>
    <w:rsid w:val="071A9307"/>
    <w:rsid w:val="0739E74C"/>
    <w:rsid w:val="074D8873"/>
    <w:rsid w:val="0882A7DD"/>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7D23FDF"/>
    <w:rsid w:val="4814AA1D"/>
    <w:rsid w:val="488049ED"/>
    <w:rsid w:val="49A15F79"/>
    <w:rsid w:val="4A127F7C"/>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27F1F1"/>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A969A0"/>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A969A0"/>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31646427">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4" ma:contentTypeDescription="Create a new document." ma:contentTypeScope="" ma:versionID="aa3227d3b90198c72c4193321905f24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ac465c7ec5bd498f8b23705a63f96190"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purl.org/dc/dcmitype/"/>
    <ds:schemaRef ds:uri="http://purl.org/dc/elements/1.1/"/>
    <ds:schemaRef ds:uri="http://purl.org/dc/terms/"/>
    <ds:schemaRef ds:uri="419b95a3-ce3a-49f0-a34c-ab50080338b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f809f247-91c8-4c12-bf0c-0ad48c29d5e9"/>
    <ds:schemaRef ds:uri="http://schemas.microsoft.com/office/2006/metadata/properties"/>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9C1D9DB5-908A-438C-9AD8-517CC77EA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O'Shea, Nikki (Corporate)</cp:lastModifiedBy>
  <cp:revision>4</cp:revision>
  <dcterms:created xsi:type="dcterms:W3CDTF">2024-02-22T08:40:00Z</dcterms:created>
  <dcterms:modified xsi:type="dcterms:W3CDTF">2024-02-22T08:42:00Z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