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 xml:space="preserve">eveloping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6295F08E" w:rsidR="00816AA1" w:rsidRDefault="00816AA1" w:rsidP="2B77B527">
      <w:pPr>
        <w:pStyle w:val="Body-Bold"/>
      </w:pPr>
      <w:r>
        <w:t xml:space="preserve">Responsible to: </w:t>
      </w:r>
      <w:r w:rsidR="00A73140" w:rsidRPr="00873CD4">
        <w:rPr>
          <w:b w:val="0"/>
          <w:bCs w:val="0"/>
        </w:rPr>
        <w:t>Team Manager, Fostering</w:t>
      </w:r>
      <w:r w:rsidR="00A73140">
        <w:t xml:space="preserve"> </w:t>
      </w:r>
    </w:p>
    <w:p w14:paraId="16C6032D" w14:textId="61E0FC57" w:rsidR="0041456C" w:rsidRDefault="0041456C" w:rsidP="001F3113">
      <w:pPr>
        <w:pStyle w:val="Body-Bold"/>
      </w:pPr>
      <w:r>
        <w:t>Responsible for:</w:t>
      </w:r>
      <w:r w:rsidR="00873CD4">
        <w:t xml:space="preserve"> </w:t>
      </w:r>
      <w:r w:rsidR="00873CD4" w:rsidRPr="00873CD4">
        <w:rPr>
          <w:b w:val="0"/>
          <w:bCs w:val="0"/>
        </w:rPr>
        <w:t>Supporting and Supervising Foster Carers</w:t>
      </w:r>
      <w:r w:rsidR="004F7683">
        <w:t xml:space="preserve">  </w:t>
      </w:r>
      <w:r>
        <w:t xml:space="preserve"> </w:t>
      </w:r>
    </w:p>
    <w:p w14:paraId="0ADF243F" w14:textId="77777777" w:rsidR="0041456C" w:rsidRPr="00153F0B" w:rsidRDefault="0041456C" w:rsidP="0041456C">
      <w:pPr>
        <w:pStyle w:val="Body-Bold"/>
        <w:spacing w:line="240" w:lineRule="auto"/>
      </w:pPr>
      <w:r>
        <w:t xml:space="preserve">Key Accountabilities: </w:t>
      </w:r>
    </w:p>
    <w:p w14:paraId="67280C9B" w14:textId="77777777" w:rsidR="004F7683" w:rsidRPr="00873CD4" w:rsidRDefault="004F7683" w:rsidP="004F7683">
      <w:pPr>
        <w:pStyle w:val="Body-Bold"/>
        <w:numPr>
          <w:ilvl w:val="0"/>
          <w:numId w:val="17"/>
        </w:numPr>
        <w:rPr>
          <w:b w:val="0"/>
          <w:bCs w:val="0"/>
        </w:rPr>
      </w:pPr>
      <w:r w:rsidRPr="00873CD4">
        <w:rPr>
          <w:b w:val="0"/>
          <w:bCs w:val="0"/>
        </w:rPr>
        <w:t xml:space="preserve">To carry out a range of Social Work tasks as allocated by the Team Manager </w:t>
      </w:r>
    </w:p>
    <w:p w14:paraId="727E8CE0" w14:textId="2474C1B9" w:rsidR="004F7683" w:rsidRPr="00873CD4" w:rsidRDefault="004F7683" w:rsidP="004F7683">
      <w:pPr>
        <w:pStyle w:val="Body-Bold"/>
        <w:numPr>
          <w:ilvl w:val="0"/>
          <w:numId w:val="17"/>
        </w:numPr>
        <w:rPr>
          <w:b w:val="0"/>
          <w:bCs w:val="0"/>
        </w:rPr>
      </w:pPr>
      <w:r w:rsidRPr="00873CD4">
        <w:rPr>
          <w:b w:val="0"/>
          <w:bCs w:val="0"/>
        </w:rPr>
        <w:t xml:space="preserve">Holding and managing allocations of fostering families, prioritising all work in accordance with the Directorate’s Policies and Procedures, standing orders, </w:t>
      </w:r>
      <w:proofErr w:type="gramStart"/>
      <w:r w:rsidRPr="00873CD4">
        <w:rPr>
          <w:b w:val="0"/>
          <w:bCs w:val="0"/>
        </w:rPr>
        <w:t>budgets</w:t>
      </w:r>
      <w:proofErr w:type="gramEnd"/>
      <w:r w:rsidRPr="00873CD4">
        <w:rPr>
          <w:b w:val="0"/>
          <w:bCs w:val="0"/>
        </w:rPr>
        <w:t xml:space="preserve"> and all relevant legislation. </w:t>
      </w:r>
    </w:p>
    <w:p w14:paraId="525C1C26" w14:textId="77777777" w:rsidR="004F7683" w:rsidRPr="00873CD4" w:rsidRDefault="004F7683" w:rsidP="004F7683">
      <w:pPr>
        <w:pStyle w:val="Body-Bold"/>
        <w:numPr>
          <w:ilvl w:val="0"/>
          <w:numId w:val="17"/>
        </w:numPr>
        <w:rPr>
          <w:b w:val="0"/>
          <w:bCs w:val="0"/>
        </w:rPr>
      </w:pPr>
      <w:proofErr w:type="gramStart"/>
      <w:r w:rsidRPr="00873CD4">
        <w:rPr>
          <w:b w:val="0"/>
          <w:bCs w:val="0"/>
        </w:rPr>
        <w:t>Complying at all times</w:t>
      </w:r>
      <w:proofErr w:type="gramEnd"/>
      <w:r w:rsidRPr="00873CD4">
        <w:rPr>
          <w:b w:val="0"/>
          <w:bCs w:val="0"/>
        </w:rPr>
        <w:t xml:space="preserve"> with the policy and procedures of Children’s Services in respect of all aspects of work.</w:t>
      </w:r>
    </w:p>
    <w:p w14:paraId="14C4627D" w14:textId="77777777" w:rsidR="004F7683" w:rsidRPr="00873CD4" w:rsidRDefault="004F7683" w:rsidP="004F7683">
      <w:pPr>
        <w:pStyle w:val="Body-Bold"/>
        <w:numPr>
          <w:ilvl w:val="0"/>
          <w:numId w:val="17"/>
        </w:numPr>
        <w:rPr>
          <w:b w:val="0"/>
          <w:bCs w:val="0"/>
        </w:rPr>
      </w:pPr>
      <w:r w:rsidRPr="00873CD4">
        <w:rPr>
          <w:b w:val="0"/>
          <w:bCs w:val="0"/>
        </w:rPr>
        <w:t>Ensuring that all work is completed within the stated timescales in accordance with both national and local policy.</w:t>
      </w:r>
    </w:p>
    <w:p w14:paraId="155387CC" w14:textId="77777777" w:rsidR="004F7683" w:rsidRPr="00873CD4" w:rsidRDefault="004F7683" w:rsidP="004F7683">
      <w:pPr>
        <w:pStyle w:val="Body-Bold"/>
        <w:numPr>
          <w:ilvl w:val="0"/>
          <w:numId w:val="17"/>
        </w:numPr>
        <w:rPr>
          <w:b w:val="0"/>
          <w:bCs w:val="0"/>
        </w:rPr>
      </w:pPr>
      <w:r w:rsidRPr="00873CD4">
        <w:rPr>
          <w:b w:val="0"/>
          <w:bCs w:val="0"/>
        </w:rPr>
        <w:t>Planning, carrying out and monitoring all activities required for individual children and families to ensure that they achieve their assessed outcomes.</w:t>
      </w:r>
    </w:p>
    <w:p w14:paraId="245F79AA" w14:textId="77777777" w:rsidR="004F7683" w:rsidRPr="00873CD4" w:rsidRDefault="004F7683" w:rsidP="004F7683">
      <w:pPr>
        <w:pStyle w:val="Body-Bold"/>
        <w:numPr>
          <w:ilvl w:val="0"/>
          <w:numId w:val="17"/>
        </w:numPr>
        <w:rPr>
          <w:b w:val="0"/>
          <w:bCs w:val="0"/>
        </w:rPr>
      </w:pPr>
      <w:r w:rsidRPr="00873CD4">
        <w:rPr>
          <w:b w:val="0"/>
          <w:bCs w:val="0"/>
        </w:rPr>
        <w:t xml:space="preserve">Undertaking regular reviews of individual children’s and </w:t>
      </w:r>
      <w:proofErr w:type="gramStart"/>
      <w:r w:rsidRPr="00873CD4">
        <w:rPr>
          <w:b w:val="0"/>
          <w:bCs w:val="0"/>
        </w:rPr>
        <w:t>families</w:t>
      </w:r>
      <w:proofErr w:type="gramEnd"/>
      <w:r w:rsidRPr="00873CD4">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F7683">
      <w:pPr>
        <w:pStyle w:val="Body-Bold"/>
        <w:numPr>
          <w:ilvl w:val="0"/>
          <w:numId w:val="17"/>
        </w:numPr>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F7683">
      <w:pPr>
        <w:pStyle w:val="Body-Bold"/>
        <w:numPr>
          <w:ilvl w:val="0"/>
          <w:numId w:val="17"/>
        </w:numPr>
        <w:rPr>
          <w:b w:val="0"/>
          <w:bCs w:val="0"/>
        </w:rPr>
      </w:pPr>
      <w:r w:rsidRPr="00873CD4">
        <w:rPr>
          <w:b w:val="0"/>
          <w:bCs w:val="0"/>
        </w:rPr>
        <w:lastRenderedPageBreak/>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F7683">
      <w:pPr>
        <w:pStyle w:val="Body-Bold"/>
        <w:numPr>
          <w:ilvl w:val="0"/>
          <w:numId w:val="17"/>
        </w:numPr>
        <w:rPr>
          <w:b w:val="0"/>
          <w:bCs w:val="0"/>
        </w:rPr>
      </w:pPr>
      <w:r w:rsidRPr="00873CD4">
        <w:rPr>
          <w:b w:val="0"/>
          <w:bCs w:val="0"/>
        </w:rPr>
        <w:t xml:space="preserve">Providing high quality and timely assessments and reports in the agreed format for Court’s, Child Protection Case Conferences, Statutory </w:t>
      </w:r>
      <w:proofErr w:type="gramStart"/>
      <w:r w:rsidRPr="00873CD4">
        <w:rPr>
          <w:b w:val="0"/>
          <w:bCs w:val="0"/>
        </w:rPr>
        <w:t>Reviews</w:t>
      </w:r>
      <w:proofErr w:type="gramEnd"/>
      <w:r w:rsidRPr="00873CD4">
        <w:rPr>
          <w:b w:val="0"/>
          <w:bCs w:val="0"/>
        </w:rPr>
        <w:t xml:space="preserve"> and any other forum as directed by the Team Manager. </w:t>
      </w:r>
    </w:p>
    <w:p w14:paraId="01699A93" w14:textId="77777777" w:rsidR="004F7683" w:rsidRPr="00873CD4" w:rsidRDefault="004F7683" w:rsidP="004F7683">
      <w:pPr>
        <w:pStyle w:val="Body-Bold"/>
        <w:numPr>
          <w:ilvl w:val="0"/>
          <w:numId w:val="17"/>
        </w:numPr>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F7683">
      <w:pPr>
        <w:pStyle w:val="Body-Bold"/>
        <w:numPr>
          <w:ilvl w:val="0"/>
          <w:numId w:val="17"/>
        </w:numPr>
        <w:rPr>
          <w:b w:val="0"/>
          <w:bCs w:val="0"/>
        </w:rPr>
      </w:pPr>
      <w:r w:rsidRPr="00873CD4">
        <w:rPr>
          <w:b w:val="0"/>
          <w:bCs w:val="0"/>
        </w:rPr>
        <w:t>Ensuring that work they are responsible for contributes to the achievement of all agreed performance targets at an individual, team and divisional level.</w:t>
      </w:r>
    </w:p>
    <w:p w14:paraId="2B3D08A9" w14:textId="77777777" w:rsidR="004F7683" w:rsidRPr="00873CD4" w:rsidRDefault="004F7683" w:rsidP="004F7683">
      <w:pPr>
        <w:pStyle w:val="Body-Bold"/>
        <w:numPr>
          <w:ilvl w:val="0"/>
          <w:numId w:val="17"/>
        </w:numPr>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F7683">
      <w:pPr>
        <w:pStyle w:val="Body-Bold"/>
        <w:numPr>
          <w:ilvl w:val="0"/>
          <w:numId w:val="17"/>
        </w:numPr>
        <w:rPr>
          <w:b w:val="0"/>
          <w:bCs w:val="0"/>
        </w:rPr>
      </w:pPr>
      <w:r w:rsidRPr="00873CD4">
        <w:rPr>
          <w:b w:val="0"/>
          <w:bCs w:val="0"/>
        </w:rPr>
        <w:t>Attending and contributing to training courses as agreed with line management and to ensure personal development is maintained in accordance with the requirements of Social Work England.</w:t>
      </w:r>
    </w:p>
    <w:p w14:paraId="469B8692" w14:textId="77777777" w:rsidR="004F7683" w:rsidRPr="00873CD4" w:rsidRDefault="004F7683" w:rsidP="004F7683">
      <w:pPr>
        <w:pStyle w:val="Body-Bold"/>
        <w:numPr>
          <w:ilvl w:val="0"/>
          <w:numId w:val="17"/>
        </w:numPr>
        <w:rPr>
          <w:b w:val="0"/>
          <w:bCs w:val="0"/>
        </w:rPr>
      </w:pPr>
      <w:r w:rsidRPr="00873CD4">
        <w:rPr>
          <w:b w:val="0"/>
          <w:bCs w:val="0"/>
        </w:rPr>
        <w:t xml:space="preserve">Supervising and supporting the professional development of social work students and </w:t>
      </w:r>
      <w:proofErr w:type="spellStart"/>
      <w:proofErr w:type="gramStart"/>
      <w:r w:rsidRPr="00873CD4">
        <w:rPr>
          <w:b w:val="0"/>
          <w:bCs w:val="0"/>
        </w:rPr>
        <w:t>non social</w:t>
      </w:r>
      <w:proofErr w:type="spellEnd"/>
      <w:proofErr w:type="gramEnd"/>
      <w:r w:rsidRPr="00873CD4">
        <w:rPr>
          <w:b w:val="0"/>
          <w:bCs w:val="0"/>
        </w:rPr>
        <w:t xml:space="preserve"> work qualified staff on the team when required.</w:t>
      </w:r>
    </w:p>
    <w:p w14:paraId="1C923143" w14:textId="77777777" w:rsidR="004F7683" w:rsidRPr="00873CD4" w:rsidRDefault="004F7683" w:rsidP="004F7683">
      <w:pPr>
        <w:pStyle w:val="Body-Bold"/>
        <w:numPr>
          <w:ilvl w:val="0"/>
          <w:numId w:val="17"/>
        </w:numPr>
        <w:rPr>
          <w:b w:val="0"/>
          <w:bCs w:val="0"/>
        </w:rPr>
      </w:pPr>
      <w:proofErr w:type="gramStart"/>
      <w:r w:rsidRPr="00873CD4">
        <w:rPr>
          <w:b w:val="0"/>
          <w:bCs w:val="0"/>
        </w:rPr>
        <w:t>Operating at all times</w:t>
      </w:r>
      <w:proofErr w:type="gramEnd"/>
      <w:r w:rsidRPr="00873CD4">
        <w:rPr>
          <w:b w:val="0"/>
          <w:bCs w:val="0"/>
        </w:rPr>
        <w:t xml:space="preserve"> within the professional ethics and disciplines of Social Work as described in the BASW code of ethics and Social Work England codes of practice.</w:t>
      </w:r>
    </w:p>
    <w:p w14:paraId="61AF3C92" w14:textId="5BBA7E75" w:rsidR="004F7683" w:rsidRPr="00873CD4" w:rsidRDefault="004F7683" w:rsidP="004F7683">
      <w:pPr>
        <w:pStyle w:val="Body-Bold"/>
        <w:numPr>
          <w:ilvl w:val="0"/>
          <w:numId w:val="17"/>
        </w:numPr>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F7683">
      <w:pPr>
        <w:pStyle w:val="Body-Bold"/>
        <w:numPr>
          <w:ilvl w:val="0"/>
          <w:numId w:val="17"/>
        </w:numPr>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Social Work England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Skills</w:t>
            </w:r>
            <w:commentRangeEnd w:id="4"/>
            <w:r w:rsidR="002D413B">
              <w:rPr>
                <w:rStyle w:val="CommentReference"/>
                <w:rFonts w:ascii="Times New Roman" w:eastAsia="Times New Roman" w:hAnsi="Times New Roman" w:cs="Times New Roman"/>
                <w:lang w:val="en-GB"/>
              </w:rPr>
              <w:commentReference w:id="4"/>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carers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931AE9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7648A"/>
    <w:rsid w:val="002B4738"/>
    <w:rsid w:val="002D237E"/>
    <w:rsid w:val="002D413B"/>
    <w:rsid w:val="002F6DE8"/>
    <w:rsid w:val="00316CA7"/>
    <w:rsid w:val="00366F6C"/>
    <w:rsid w:val="003739AB"/>
    <w:rsid w:val="003E7AA3"/>
    <w:rsid w:val="003F50AB"/>
    <w:rsid w:val="0041456C"/>
    <w:rsid w:val="00465664"/>
    <w:rsid w:val="004C58E3"/>
    <w:rsid w:val="004E2C1E"/>
    <w:rsid w:val="004F7683"/>
    <w:rsid w:val="005230D6"/>
    <w:rsid w:val="00535B0F"/>
    <w:rsid w:val="00577B86"/>
    <w:rsid w:val="005D467F"/>
    <w:rsid w:val="00625C25"/>
    <w:rsid w:val="00636F40"/>
    <w:rsid w:val="00671CC9"/>
    <w:rsid w:val="0070227B"/>
    <w:rsid w:val="00770B6C"/>
    <w:rsid w:val="00792EE5"/>
    <w:rsid w:val="00797BFE"/>
    <w:rsid w:val="007A6708"/>
    <w:rsid w:val="0080309F"/>
    <w:rsid w:val="00816AA1"/>
    <w:rsid w:val="00841A14"/>
    <w:rsid w:val="00872B70"/>
    <w:rsid w:val="00873CD4"/>
    <w:rsid w:val="008B4F3B"/>
    <w:rsid w:val="008E17A6"/>
    <w:rsid w:val="009446C3"/>
    <w:rsid w:val="0096580A"/>
    <w:rsid w:val="0097248E"/>
    <w:rsid w:val="00977EA1"/>
    <w:rsid w:val="0098215C"/>
    <w:rsid w:val="0099470D"/>
    <w:rsid w:val="009D51A0"/>
    <w:rsid w:val="00A34FE9"/>
    <w:rsid w:val="00A645DA"/>
    <w:rsid w:val="00A73140"/>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1262</Words>
  <Characters>7196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Challinor, Julia (C&amp;F)</cp:lastModifiedBy>
  <cp:revision>2</cp:revision>
  <dcterms:created xsi:type="dcterms:W3CDTF">2023-03-02T09:01:00Z</dcterms:created>
  <dcterms:modified xsi:type="dcterms:W3CDTF">2023-03-02T09:01:00Z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