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62E" w14:textId="4A94A2FD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503035">
        <w:t>Enterprise Centre Administrator</w:t>
      </w:r>
      <w:r>
        <w:br/>
      </w:r>
      <w:r w:rsidR="10F4C3C6">
        <w:t>Grade</w:t>
      </w:r>
      <w:r w:rsidR="60B7468B">
        <w:t xml:space="preserve">: </w:t>
      </w:r>
      <w:r w:rsidR="00503035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7AF49264" w:rsidR="00816AA1" w:rsidRPr="00816AA1" w:rsidRDefault="00816AA1" w:rsidP="001F3113">
      <w:pPr>
        <w:pStyle w:val="Bullets"/>
      </w:pPr>
      <w:r>
        <w:t xml:space="preserve">Feel safer, </w:t>
      </w:r>
      <w:r w:rsidR="00B62CB2">
        <w:t>happier,</w:t>
      </w:r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433DA3F8" w:rsidR="00816AA1" w:rsidRDefault="00816AA1" w:rsidP="001F3113">
      <w:pPr>
        <w:pStyle w:val="Body-Bold"/>
      </w:pPr>
      <w:r w:rsidRPr="001F3113">
        <w:t>About the Service</w:t>
      </w:r>
    </w:p>
    <w:p w14:paraId="57C16EC6" w14:textId="42C75373" w:rsidR="00503035" w:rsidRDefault="00503035" w:rsidP="00503035">
      <w:pPr>
        <w:rPr>
          <w:rFonts w:ascii="Verdana" w:hAnsi="Verdana"/>
          <w:sz w:val="24"/>
          <w:szCs w:val="24"/>
        </w:rPr>
      </w:pPr>
      <w:r w:rsidRPr="00A2491C">
        <w:rPr>
          <w:rFonts w:ascii="Verdana" w:hAnsi="Verdana"/>
          <w:sz w:val="24"/>
          <w:szCs w:val="24"/>
        </w:rPr>
        <w:t xml:space="preserve">The Business </w:t>
      </w:r>
      <w:r w:rsidR="00A226AA">
        <w:rPr>
          <w:rFonts w:ascii="Verdana" w:hAnsi="Verdana"/>
          <w:sz w:val="24"/>
          <w:szCs w:val="24"/>
        </w:rPr>
        <w:t xml:space="preserve">&amp; Enterprise </w:t>
      </w:r>
      <w:r w:rsidRPr="00A2491C">
        <w:rPr>
          <w:rFonts w:ascii="Verdana" w:hAnsi="Verdana"/>
          <w:sz w:val="24"/>
          <w:szCs w:val="24"/>
        </w:rPr>
        <w:t xml:space="preserve">Team is responsible for the County Council’s support to Businesses throughout the County.  This includes the County Farms, Enterprise Centres, Business </w:t>
      </w:r>
      <w:r w:rsidR="00A226AA">
        <w:rPr>
          <w:rFonts w:ascii="Verdana" w:hAnsi="Verdana"/>
          <w:sz w:val="24"/>
          <w:szCs w:val="24"/>
        </w:rPr>
        <w:t>advice and support</w:t>
      </w:r>
      <w:r w:rsidRPr="00A2491C">
        <w:rPr>
          <w:rFonts w:ascii="Verdana" w:hAnsi="Verdana"/>
          <w:sz w:val="24"/>
          <w:szCs w:val="24"/>
        </w:rPr>
        <w:t xml:space="preserve">, </w:t>
      </w:r>
      <w:r w:rsidR="007D412E">
        <w:rPr>
          <w:rFonts w:ascii="Verdana" w:hAnsi="Verdana"/>
          <w:sz w:val="24"/>
          <w:szCs w:val="24"/>
        </w:rPr>
        <w:t>Planning</w:t>
      </w:r>
      <w:r w:rsidR="00960E61">
        <w:rPr>
          <w:rFonts w:ascii="Verdana" w:hAnsi="Verdana"/>
          <w:sz w:val="24"/>
          <w:szCs w:val="24"/>
        </w:rPr>
        <w:t>, Economic Regeneration</w:t>
      </w:r>
      <w:r w:rsidRPr="00A2491C">
        <w:rPr>
          <w:rFonts w:ascii="Verdana" w:hAnsi="Verdana"/>
          <w:sz w:val="24"/>
          <w:szCs w:val="24"/>
        </w:rPr>
        <w:t xml:space="preserve"> and the Staffordshire Business Environment Network.  The service works closely with Staffordshire businesses, business representative organisations and economic regeneration partners and partnerships to identify </w:t>
      </w:r>
      <w:r w:rsidRPr="00A2491C">
        <w:rPr>
          <w:rFonts w:ascii="Verdana" w:hAnsi="Verdana"/>
          <w:sz w:val="24"/>
          <w:szCs w:val="24"/>
        </w:rPr>
        <w:lastRenderedPageBreak/>
        <w:t>business needs and to plan, commission and deliver a range of business support services to meet these needs.</w:t>
      </w:r>
    </w:p>
    <w:p w14:paraId="18C6547D" w14:textId="6575AF84" w:rsidR="004F2F03" w:rsidRPr="004F2F03" w:rsidRDefault="004F2F03" w:rsidP="00503035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About the </w:t>
      </w:r>
      <w:r w:rsidR="00FD1913">
        <w:rPr>
          <w:rFonts w:ascii="Verdana" w:hAnsi="Verdana"/>
          <w:b/>
          <w:bCs/>
          <w:sz w:val="24"/>
          <w:szCs w:val="24"/>
        </w:rPr>
        <w:t>R</w:t>
      </w:r>
      <w:r>
        <w:rPr>
          <w:rFonts w:ascii="Verdana" w:hAnsi="Verdana"/>
          <w:b/>
          <w:bCs/>
          <w:sz w:val="24"/>
          <w:szCs w:val="24"/>
        </w:rPr>
        <w:t>ole</w:t>
      </w:r>
    </w:p>
    <w:p w14:paraId="1D74F45E" w14:textId="0D8A9F91" w:rsidR="002D413B" w:rsidRPr="00A2491C" w:rsidRDefault="00503035" w:rsidP="00503035">
      <w:pPr>
        <w:pStyle w:val="Body-Bold"/>
        <w:rPr>
          <w:b w:val="0"/>
          <w:bCs w:val="0"/>
        </w:rPr>
      </w:pPr>
      <w:r w:rsidRPr="00A2491C">
        <w:rPr>
          <w:b w:val="0"/>
          <w:bCs w:val="0"/>
        </w:rPr>
        <w:t xml:space="preserve">The Administrator will provide </w:t>
      </w:r>
      <w:r w:rsidR="007B2EBE" w:rsidRPr="00B419A3">
        <w:rPr>
          <w:b w:val="0"/>
          <w:bCs w:val="0"/>
        </w:rPr>
        <w:t>reception and</w:t>
      </w:r>
      <w:r w:rsidR="007B2EBE" w:rsidRPr="007B2EBE">
        <w:t xml:space="preserve"> </w:t>
      </w:r>
      <w:r w:rsidRPr="00A2491C">
        <w:rPr>
          <w:b w:val="0"/>
          <w:bCs w:val="0"/>
        </w:rPr>
        <w:t xml:space="preserve">administrative support to the Enterprise Centre Manager in relation to the day-to-day management of the Centre.  The post will be based at </w:t>
      </w:r>
      <w:r w:rsidR="00472D80">
        <w:rPr>
          <w:b w:val="0"/>
          <w:bCs w:val="0"/>
        </w:rPr>
        <w:t>Waterside Court Enterprise Centre in Burton upon Trent.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4BDCC45E" w:rsidR="00816AA1" w:rsidRDefault="00816AA1" w:rsidP="001F3113">
      <w:pPr>
        <w:pStyle w:val="Body-Bold"/>
      </w:pPr>
      <w:r>
        <w:t xml:space="preserve">Responsible to: </w:t>
      </w:r>
      <w:r w:rsidR="00503035">
        <w:t xml:space="preserve">Enterprise </w:t>
      </w:r>
      <w:r w:rsidR="00A2491C">
        <w:t>C</w:t>
      </w:r>
      <w:r w:rsidR="00503035">
        <w:t>entre Manager</w:t>
      </w:r>
    </w:p>
    <w:p w14:paraId="4AE6A17E" w14:textId="4D379BB6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5F5619A1">
        <w:rPr>
          <w:rFonts w:eastAsia="Calibri"/>
          <w:color w:val="000000" w:themeColor="text1"/>
        </w:rPr>
        <w:t xml:space="preserve">Responsible for: </w:t>
      </w:r>
      <w:r w:rsidR="00503035">
        <w:rPr>
          <w:rFonts w:eastAsia="Calibri"/>
          <w:color w:val="000000" w:themeColor="text1"/>
        </w:rPr>
        <w:t>N/A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7EC15585" w14:textId="5221D0E9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  <w:color w:val="000000"/>
        </w:rPr>
      </w:pPr>
      <w:r w:rsidRPr="00A2491C">
        <w:rPr>
          <w:rFonts w:ascii="Verdana" w:hAnsi="Verdana"/>
        </w:rPr>
        <w:t xml:space="preserve">Provision of on-site </w:t>
      </w:r>
      <w:r w:rsidR="007B2EBE" w:rsidRPr="00B419A3">
        <w:rPr>
          <w:rFonts w:ascii="Verdana" w:hAnsi="Verdana"/>
        </w:rPr>
        <w:t>Reception</w:t>
      </w:r>
      <w:r w:rsidR="007B2EBE">
        <w:rPr>
          <w:rFonts w:ascii="Verdana" w:hAnsi="Verdana"/>
        </w:rPr>
        <w:t xml:space="preserve"> </w:t>
      </w:r>
      <w:r w:rsidRPr="00A2491C">
        <w:rPr>
          <w:rFonts w:ascii="Verdana" w:hAnsi="Verdana"/>
        </w:rPr>
        <w:t xml:space="preserve">presence at </w:t>
      </w:r>
      <w:r w:rsidR="00F37613">
        <w:rPr>
          <w:rFonts w:ascii="Verdana" w:hAnsi="Verdana"/>
        </w:rPr>
        <w:t>Waterside Court, Burton upon Trent</w:t>
      </w:r>
      <w:r w:rsidRPr="00A2491C">
        <w:rPr>
          <w:rFonts w:ascii="Verdana" w:hAnsi="Verdana"/>
        </w:rPr>
        <w:t>, to support the operation of the Centre</w:t>
      </w:r>
      <w:r w:rsidR="009B082D">
        <w:rPr>
          <w:rFonts w:ascii="Verdana" w:hAnsi="Verdana"/>
        </w:rPr>
        <w:t xml:space="preserve">. On rare occasions the postholder may be asked to cover </w:t>
      </w:r>
      <w:r w:rsidR="00195265">
        <w:rPr>
          <w:rFonts w:ascii="Verdana" w:hAnsi="Verdana"/>
        </w:rPr>
        <w:t xml:space="preserve">Receptions at </w:t>
      </w:r>
      <w:r w:rsidRPr="00A2491C">
        <w:rPr>
          <w:rFonts w:ascii="Verdana" w:hAnsi="Verdana"/>
        </w:rPr>
        <w:t>other Centres</w:t>
      </w:r>
      <w:r w:rsidR="00195265">
        <w:rPr>
          <w:rFonts w:ascii="Verdana" w:hAnsi="Verdana"/>
        </w:rPr>
        <w:t>.</w:t>
      </w:r>
    </w:p>
    <w:p w14:paraId="770A7F9D" w14:textId="77777777" w:rsidR="00503035" w:rsidRPr="00A2491C" w:rsidRDefault="00503035" w:rsidP="00503035">
      <w:pPr>
        <w:spacing w:after="0" w:line="240" w:lineRule="auto"/>
        <w:ind w:left="720"/>
        <w:rPr>
          <w:rFonts w:ascii="Verdana" w:hAnsi="Verdana"/>
          <w:color w:val="000000"/>
        </w:rPr>
      </w:pPr>
    </w:p>
    <w:p w14:paraId="59FAC45A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Ensure that occupiers are aware of sources of business advice and assistance, and maintain a stock of useful literature and brochures etc. Refer occupiers to the Staffordshire Business Helpline for further business advice and assistance.</w:t>
      </w:r>
    </w:p>
    <w:p w14:paraId="044BA669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653BCB55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Arrange for prospective occupiers to view vacant units and accompany them on viewing visits at the Centre if required whilst being able to supply information on letting terms.</w:t>
      </w:r>
    </w:p>
    <w:p w14:paraId="41F456C4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55B183B4" w14:textId="1A183DE4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Seek and obtain suitable reference</w:t>
      </w:r>
      <w:r w:rsidR="00472D80">
        <w:rPr>
          <w:rFonts w:ascii="Verdana" w:hAnsi="Verdana"/>
        </w:rPr>
        <w:t>s</w:t>
      </w:r>
      <w:r w:rsidRPr="00A2491C">
        <w:rPr>
          <w:rFonts w:ascii="Verdana" w:hAnsi="Verdana"/>
        </w:rPr>
        <w:t xml:space="preserve"> for prospective occupiers.</w:t>
      </w:r>
    </w:p>
    <w:p w14:paraId="16167CD1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77BF0B08" w14:textId="777C1454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Arrange for letting documentation (licenses</w:t>
      </w:r>
      <w:r w:rsidR="00B71FD8">
        <w:rPr>
          <w:rFonts w:ascii="Verdana" w:hAnsi="Verdana"/>
        </w:rPr>
        <w:t>/leases</w:t>
      </w:r>
      <w:r w:rsidRPr="00A2491C">
        <w:rPr>
          <w:rFonts w:ascii="Verdana" w:hAnsi="Verdana"/>
        </w:rPr>
        <w:t xml:space="preserve">) to be signed and liaise with County Council’s </w:t>
      </w:r>
      <w:r w:rsidR="006F144C">
        <w:rPr>
          <w:rFonts w:ascii="Verdana" w:hAnsi="Verdana"/>
        </w:rPr>
        <w:t>Legal Services team</w:t>
      </w:r>
      <w:r w:rsidRPr="00A2491C">
        <w:rPr>
          <w:rFonts w:ascii="Verdana" w:hAnsi="Verdana"/>
        </w:rPr>
        <w:t xml:space="preserve"> where appropriate.</w:t>
      </w:r>
    </w:p>
    <w:p w14:paraId="77171914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4C2A191D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Maintain a list of vacant units and notify the Enterprise Centre Manager of any changes.</w:t>
      </w:r>
    </w:p>
    <w:p w14:paraId="06124954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0693BC30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Maintain a ‘waiting list’ of any businesses interested in the units at the Centres.</w:t>
      </w:r>
    </w:p>
    <w:p w14:paraId="6CA73867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662BC5BF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Maintain an up-to-date list of occupiers, including full contact details and details of any alarm codes used in the units.</w:t>
      </w:r>
    </w:p>
    <w:p w14:paraId="384E13D1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265B1431" w14:textId="7CB98793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For rating purposes, notify Borough/District Councils of any changes in occupation, including details of units that become vacant.</w:t>
      </w:r>
    </w:p>
    <w:p w14:paraId="0F22586C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33A6D8B0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Prepare and distribute the monthly and quarterly invoices to the unit holders and along with the Enterprise Centre Manager, pursue payment.</w:t>
      </w:r>
    </w:p>
    <w:p w14:paraId="22D3AD48" w14:textId="77777777" w:rsidR="00503035" w:rsidRPr="00A2491C" w:rsidRDefault="00503035" w:rsidP="00503035">
      <w:pPr>
        <w:pStyle w:val="ListParagraph"/>
        <w:rPr>
          <w:rFonts w:ascii="Verdana" w:hAnsi="Verdana"/>
          <w:color w:val="000000"/>
          <w:sz w:val="22"/>
          <w:szCs w:val="22"/>
        </w:rPr>
      </w:pPr>
    </w:p>
    <w:p w14:paraId="2DAB78BA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  <w:color w:val="000000"/>
        </w:rPr>
      </w:pPr>
      <w:r w:rsidRPr="00A2491C">
        <w:rPr>
          <w:rFonts w:ascii="Verdana" w:hAnsi="Verdana"/>
          <w:color w:val="000000"/>
        </w:rPr>
        <w:t>Where required monitor readings of electricity and gas meters and notifying energy suppliers of incoming and outgoing tenants.</w:t>
      </w:r>
    </w:p>
    <w:p w14:paraId="26433BAF" w14:textId="77777777" w:rsidR="00503035" w:rsidRPr="00A2491C" w:rsidRDefault="00503035" w:rsidP="00503035">
      <w:pPr>
        <w:pStyle w:val="ListParagraph"/>
        <w:rPr>
          <w:rFonts w:ascii="Verdana" w:hAnsi="Verdana"/>
          <w:color w:val="000000"/>
          <w:sz w:val="22"/>
          <w:szCs w:val="22"/>
        </w:rPr>
      </w:pPr>
    </w:p>
    <w:p w14:paraId="7C556051" w14:textId="3F2DF28F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Control and manage keys for the Centre units.</w:t>
      </w:r>
    </w:p>
    <w:p w14:paraId="725D0905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2A79EB5C" w14:textId="42D89A66" w:rsidR="00503035" w:rsidRPr="007B2EBE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B2EBE">
        <w:rPr>
          <w:rFonts w:ascii="Verdana" w:hAnsi="Verdana"/>
          <w:color w:val="000000"/>
        </w:rPr>
        <w:t>Set up photocopying and scanning accounts for occupiers as required and collect payment for this service.</w:t>
      </w:r>
      <w:r w:rsidR="007B2EBE" w:rsidRPr="007B2EBE">
        <w:rPr>
          <w:rFonts w:ascii="Verdana" w:hAnsi="Verdana"/>
          <w:color w:val="000000"/>
        </w:rPr>
        <w:t xml:space="preserve"> </w:t>
      </w:r>
    </w:p>
    <w:p w14:paraId="6AB283D4" w14:textId="77777777" w:rsidR="007B2EBE" w:rsidRPr="007B2EBE" w:rsidRDefault="007B2EBE" w:rsidP="007B2EBE">
      <w:pPr>
        <w:spacing w:after="0" w:line="240" w:lineRule="auto"/>
        <w:ind w:left="720"/>
        <w:rPr>
          <w:rFonts w:ascii="Verdana" w:hAnsi="Verdana"/>
        </w:rPr>
      </w:pPr>
    </w:p>
    <w:p w14:paraId="2246EE2F" w14:textId="2417ED01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  <w:color w:val="000000"/>
        </w:rPr>
      </w:pPr>
      <w:r w:rsidRPr="00A2491C">
        <w:rPr>
          <w:rFonts w:ascii="Verdana" w:hAnsi="Verdana"/>
          <w:color w:val="000000"/>
        </w:rPr>
        <w:t>Arrange for the hire of meeting room</w:t>
      </w:r>
      <w:r w:rsidR="007B2EBE">
        <w:rPr>
          <w:rFonts w:ascii="Verdana" w:hAnsi="Verdana"/>
          <w:color w:val="000000"/>
        </w:rPr>
        <w:t>s</w:t>
      </w:r>
      <w:r w:rsidRPr="00A2491C">
        <w:rPr>
          <w:rFonts w:ascii="Verdana" w:hAnsi="Verdana"/>
          <w:color w:val="000000"/>
        </w:rPr>
        <w:t xml:space="preserve"> and hot desking facilities by tenant businesses and external organisations ensuring correct charges are made for this.</w:t>
      </w:r>
    </w:p>
    <w:p w14:paraId="162C38AD" w14:textId="77777777" w:rsidR="00503035" w:rsidRPr="00A2491C" w:rsidRDefault="00503035" w:rsidP="00503035">
      <w:pPr>
        <w:pStyle w:val="ListParagraph"/>
        <w:rPr>
          <w:rFonts w:ascii="Verdana" w:hAnsi="Verdana"/>
          <w:color w:val="FF0000"/>
          <w:sz w:val="22"/>
          <w:szCs w:val="22"/>
        </w:rPr>
      </w:pPr>
    </w:p>
    <w:p w14:paraId="3986EFC8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Inspect the Centre regularly to monitor for any building defects, failure of occupiers to comply with the terms of their letting, and any other problems (particularly Health &amp; Safety issues) that might adversely affect the operation of the Centre.  Immediately report any faults, defects, concerns etc. to the Enterprise Centre Manager.</w:t>
      </w:r>
    </w:p>
    <w:p w14:paraId="08A9A892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6FB4A581" w14:textId="1004D6BD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Maintain a record of</w:t>
      </w:r>
      <w:r w:rsidR="006A1CE7">
        <w:rPr>
          <w:rFonts w:ascii="Verdana" w:hAnsi="Verdana"/>
        </w:rPr>
        <w:t>,</w:t>
      </w:r>
      <w:r w:rsidRPr="00A2491C">
        <w:rPr>
          <w:rFonts w:ascii="Verdana" w:hAnsi="Verdana"/>
        </w:rPr>
        <w:t xml:space="preserve"> and arrange Property and Health &amp; Safety contracted service visits as required.</w:t>
      </w:r>
    </w:p>
    <w:p w14:paraId="003E361C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6DAE878B" w14:textId="4B69B6DC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Arrange to give access to contractors carrying out any</w:t>
      </w:r>
      <w:r w:rsidRPr="00A2491C">
        <w:rPr>
          <w:rFonts w:ascii="Verdana" w:hAnsi="Verdana"/>
          <w:lang w:val="en-GB"/>
        </w:rPr>
        <w:t xml:space="preserve"> authorised</w:t>
      </w:r>
      <w:r w:rsidRPr="00A2491C">
        <w:rPr>
          <w:rFonts w:ascii="Verdana" w:hAnsi="Verdana"/>
        </w:rPr>
        <w:t xml:space="preserve"> work on site, liaising with unit holders where appropriate, and advising the Enterprise Centre Manager of such.</w:t>
      </w:r>
      <w:r w:rsidR="007B2EBE">
        <w:rPr>
          <w:rFonts w:ascii="Verdana" w:hAnsi="Verdana"/>
        </w:rPr>
        <w:t xml:space="preserve"> </w:t>
      </w:r>
      <w:r w:rsidR="007B2EBE" w:rsidRPr="00B419A3">
        <w:rPr>
          <w:rFonts w:ascii="Verdana" w:hAnsi="Verdana"/>
        </w:rPr>
        <w:t xml:space="preserve">Complete relevant </w:t>
      </w:r>
      <w:r w:rsidR="00B419A3">
        <w:rPr>
          <w:rFonts w:ascii="Verdana" w:hAnsi="Verdana"/>
        </w:rPr>
        <w:t xml:space="preserve">Health and Safety </w:t>
      </w:r>
      <w:r w:rsidR="007B2EBE" w:rsidRPr="00B419A3">
        <w:rPr>
          <w:rFonts w:ascii="Verdana" w:hAnsi="Verdana"/>
        </w:rPr>
        <w:t>paperwork</w:t>
      </w:r>
    </w:p>
    <w:p w14:paraId="5B92C240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283308EA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Distribute post and parcels sent to the Centre and manage the Post Office Box section used by external tenants.</w:t>
      </w:r>
    </w:p>
    <w:p w14:paraId="48E9AF8E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4918D2A1" w14:textId="63804D50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  <w:color w:val="000000"/>
        </w:rPr>
      </w:pPr>
      <w:r w:rsidRPr="00A2491C">
        <w:rPr>
          <w:rFonts w:ascii="Verdana" w:hAnsi="Verdana"/>
        </w:rPr>
        <w:t>Carry out regular fire alarm tests</w:t>
      </w:r>
      <w:r w:rsidR="007B2EBE" w:rsidRPr="00B419A3">
        <w:rPr>
          <w:rFonts w:ascii="Verdana" w:hAnsi="Verdana"/>
        </w:rPr>
        <w:t>/Drills</w:t>
      </w:r>
      <w:r w:rsidRPr="00A2491C">
        <w:rPr>
          <w:rFonts w:ascii="Verdana" w:hAnsi="Verdana"/>
        </w:rPr>
        <w:t xml:space="preserve"> and record the tests for health and safety records. </w:t>
      </w:r>
      <w:r w:rsidRPr="00A2491C">
        <w:rPr>
          <w:rFonts w:ascii="Verdana" w:hAnsi="Verdana"/>
          <w:color w:val="000000"/>
        </w:rPr>
        <w:t xml:space="preserve">Attend to Fire and Security alarms activations during working hours as required. </w:t>
      </w:r>
    </w:p>
    <w:p w14:paraId="585553E9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5C810149" w14:textId="77777777" w:rsidR="00503035" w:rsidRPr="00A2491C" w:rsidRDefault="00503035" w:rsidP="00503035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>Keep records of any accidents, personal injuries or damage to the Centre and notify the Enterprise Centre Manager immediately of any such incidents.</w:t>
      </w:r>
    </w:p>
    <w:p w14:paraId="5C1B4015" w14:textId="77777777" w:rsidR="00503035" w:rsidRPr="00A2491C" w:rsidRDefault="00503035" w:rsidP="00503035">
      <w:pPr>
        <w:pStyle w:val="ListParagraph"/>
        <w:rPr>
          <w:rFonts w:ascii="Verdana" w:hAnsi="Verdana"/>
          <w:sz w:val="22"/>
          <w:szCs w:val="22"/>
        </w:rPr>
      </w:pPr>
    </w:p>
    <w:p w14:paraId="6A44F594" w14:textId="54CDC597" w:rsidR="0041456C" w:rsidRPr="00A2491C" w:rsidRDefault="00503035" w:rsidP="001F3113">
      <w:pPr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A2491C">
        <w:rPr>
          <w:rFonts w:ascii="Verdana" w:hAnsi="Verdana"/>
        </w:rPr>
        <w:t xml:space="preserve">Provide </w:t>
      </w:r>
      <w:r w:rsidR="0015741E">
        <w:rPr>
          <w:rFonts w:ascii="Verdana" w:hAnsi="Verdana"/>
        </w:rPr>
        <w:t xml:space="preserve">occasional </w:t>
      </w:r>
      <w:r w:rsidRPr="00A2491C">
        <w:rPr>
          <w:rFonts w:ascii="Verdana" w:hAnsi="Verdana"/>
        </w:rPr>
        <w:t>holiday</w:t>
      </w:r>
      <w:r w:rsidR="00EB6A3B">
        <w:rPr>
          <w:rFonts w:ascii="Verdana" w:hAnsi="Verdana"/>
        </w:rPr>
        <w:t xml:space="preserve"> and other </w:t>
      </w:r>
      <w:r w:rsidRPr="00A2491C">
        <w:rPr>
          <w:rFonts w:ascii="Verdana" w:hAnsi="Verdana"/>
        </w:rPr>
        <w:t>cover</w:t>
      </w:r>
      <w:r w:rsidR="00EB6A3B">
        <w:rPr>
          <w:rFonts w:ascii="Verdana" w:hAnsi="Verdana"/>
        </w:rPr>
        <w:t xml:space="preserve"> duties</w:t>
      </w:r>
      <w:r w:rsidRPr="00A2491C">
        <w:rPr>
          <w:rFonts w:ascii="Verdana" w:hAnsi="Verdana"/>
        </w:rPr>
        <w:t xml:space="preserve"> at other Centres if required by the Enterprise Centre Manager.</w:t>
      </w:r>
    </w:p>
    <w:p w14:paraId="6AA47D30" w14:textId="77777777" w:rsidR="00503035" w:rsidRPr="00A2491C" w:rsidRDefault="00503035" w:rsidP="00503035">
      <w:pPr>
        <w:pStyle w:val="ListParagraph"/>
        <w:rPr>
          <w:rFonts w:ascii="Verdana" w:hAnsi="Verdana"/>
        </w:rPr>
      </w:pPr>
    </w:p>
    <w:p w14:paraId="48F14302" w14:textId="77777777" w:rsidR="00503035" w:rsidRPr="00503035" w:rsidRDefault="00503035" w:rsidP="00503035">
      <w:pPr>
        <w:spacing w:after="0" w:line="240" w:lineRule="auto"/>
        <w:rPr>
          <w:rFonts w:ascii="Arial" w:hAnsi="Arial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2B13F337" w14:textId="2782666C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480EE762" w:rsidR="00503035" w:rsidRPr="00503035" w:rsidRDefault="0041456C" w:rsidP="00503035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503035">
        <w:trPr>
          <w:trHeight w:val="2058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2843CE4" w:rsidR="0041456C" w:rsidRPr="00A2491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A2491C">
              <w:rPr>
                <w:rFonts w:ascii="Verdana" w:eastAsia="Gill Sans MT" w:hAnsi="Verdana" w:cs="Arial"/>
                <w:b/>
                <w:lang w:val="en-GB"/>
              </w:rPr>
              <w:t>Qualifications/Professional membership</w:t>
            </w:r>
          </w:p>
          <w:p w14:paraId="2620976D" w14:textId="77777777" w:rsidR="00503035" w:rsidRPr="00A2491C" w:rsidRDefault="00503035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</w:p>
          <w:p w14:paraId="400C3336" w14:textId="6D6F0C07" w:rsidR="00503035" w:rsidRPr="00A2491C" w:rsidRDefault="00503035" w:rsidP="0050303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 w:cs="Arial"/>
                <w:lang w:val="en-GB"/>
              </w:rPr>
              <w:t xml:space="preserve">Level 2 NVQ in Business Admin or </w:t>
            </w:r>
            <w:r w:rsidR="00810703">
              <w:rPr>
                <w:rFonts w:ascii="Verdana" w:hAnsi="Verdana" w:cs="Arial"/>
                <w:lang w:val="en-GB"/>
              </w:rPr>
              <w:t xml:space="preserve">an </w:t>
            </w:r>
            <w:r w:rsidRPr="00A2491C">
              <w:rPr>
                <w:rFonts w:ascii="Verdana" w:hAnsi="Verdana" w:cs="Arial"/>
                <w:lang w:val="en-GB"/>
              </w:rPr>
              <w:t xml:space="preserve">equivalent </w:t>
            </w:r>
            <w:r w:rsidR="00003FB5">
              <w:rPr>
                <w:rFonts w:ascii="Verdana" w:hAnsi="Verdana" w:cs="Arial"/>
                <w:lang w:val="en-GB"/>
              </w:rPr>
              <w:t>or similar level of relevant experience</w:t>
            </w:r>
          </w:p>
          <w:p w14:paraId="2F1568DF" w14:textId="77777777" w:rsidR="00503035" w:rsidRPr="00A2491C" w:rsidRDefault="00503035" w:rsidP="0050303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 w:cs="Arial"/>
                <w:lang w:val="en-GB"/>
              </w:rPr>
              <w:t>An IT qualification to the competency level of ECDL, CLAIT etc.</w:t>
            </w:r>
          </w:p>
          <w:p w14:paraId="74AB4191" w14:textId="04B55CDD" w:rsidR="0041456C" w:rsidRPr="00A2491C" w:rsidRDefault="00503035" w:rsidP="00503035">
            <w:pPr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 w:cs="Arial"/>
                <w:lang w:val="en-GB"/>
              </w:rPr>
              <w:t>Good standards of literacy and numeracy (demonstrated by GCSE passes in Maths and English or equivalent)</w:t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647B0452" w14:textId="77777777" w:rsidR="0041456C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658C18E9" w14:textId="26AC8BAA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4476C137" w14:textId="1ADF2743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4FA5215D" w14:textId="5E61B5E6" w:rsidR="00503035" w:rsidRPr="0041456C" w:rsidRDefault="00503035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503035">
        <w:trPr>
          <w:trHeight w:val="3412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A2491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A2491C">
              <w:rPr>
                <w:rFonts w:ascii="Verdana" w:eastAsia="Gill Sans MT" w:hAnsi="Verdana" w:cs="Arial"/>
                <w:b/>
                <w:bCs/>
                <w:lang w:val="en-GB"/>
              </w:rPr>
              <w:t>Knowledge and Experience</w:t>
            </w:r>
          </w:p>
          <w:p w14:paraId="37EB8E64" w14:textId="77777777" w:rsidR="0041456C" w:rsidRPr="00A2491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  <w:p w14:paraId="695BFB2A" w14:textId="77777777" w:rsidR="00503035" w:rsidRPr="00A2491C" w:rsidRDefault="00503035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Ability to appreciate major issues which small businesses face in order to sustain or grow their business.</w:t>
            </w:r>
          </w:p>
          <w:p w14:paraId="08BF664F" w14:textId="77777777" w:rsidR="00503035" w:rsidRDefault="00503035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Ability to demonstrate a commitment to customer care.</w:t>
            </w:r>
          </w:p>
          <w:p w14:paraId="258B2B0C" w14:textId="615E9B00" w:rsidR="00F23CD2" w:rsidRPr="00A2491C" w:rsidRDefault="00F23CD2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 appreciation of Health and Safety issues </w:t>
            </w:r>
            <w:r w:rsidR="007C736F">
              <w:rPr>
                <w:rFonts w:ascii="Verdana" w:hAnsi="Verdana"/>
              </w:rPr>
              <w:t>and their application to the role</w:t>
            </w:r>
          </w:p>
          <w:p w14:paraId="5DA18CEF" w14:textId="77777777" w:rsidR="00503035" w:rsidRPr="00A2491C" w:rsidRDefault="00503035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Experience in using a computer-based information system for financial recording and processing.</w:t>
            </w:r>
          </w:p>
          <w:p w14:paraId="19A8895D" w14:textId="77777777" w:rsidR="00503035" w:rsidRPr="00A2491C" w:rsidRDefault="00503035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Experience in using Microsoft office or equivalent software package.</w:t>
            </w:r>
          </w:p>
          <w:p w14:paraId="71AA74C5" w14:textId="77777777" w:rsidR="00503035" w:rsidRPr="00A2491C" w:rsidRDefault="00503035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Experience of office procedures, systems and equipment.</w:t>
            </w:r>
          </w:p>
          <w:p w14:paraId="334EAE6A" w14:textId="77777777" w:rsidR="00503035" w:rsidRDefault="00503035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Experience in working as part of a team.</w:t>
            </w:r>
          </w:p>
          <w:p w14:paraId="53FEF454" w14:textId="2B0A9BFA" w:rsidR="00B419A3" w:rsidRPr="00A2491C" w:rsidRDefault="00B419A3" w:rsidP="00503035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Customer Service experience</w:t>
            </w:r>
          </w:p>
          <w:p w14:paraId="186B0F1C" w14:textId="1012AFB6" w:rsidR="00503035" w:rsidRPr="00A2491C" w:rsidRDefault="00503035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46" w:type="dxa"/>
          </w:tcPr>
          <w:p w14:paraId="218B1C5C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400E213" w14:textId="056D38CD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6D6E5B3F" w14:textId="0A68EAB2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7DD4F010" w14:textId="77777777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00F7F171" w14:textId="77777777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40276187" w14:textId="77777777" w:rsidR="00503035" w:rsidRDefault="00503035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01D40A43" w14:textId="77777777" w:rsidR="00503035" w:rsidRDefault="00503035" w:rsidP="0071294C">
            <w:pPr>
              <w:spacing w:after="0"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42F2783B" w14:textId="0C9B9B40" w:rsidR="0071294C" w:rsidRDefault="0071294C" w:rsidP="0071294C">
            <w:pPr>
              <w:spacing w:after="0"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3459890" w14:textId="3A9FF16C" w:rsidR="007C736F" w:rsidRPr="0041456C" w:rsidRDefault="007C736F" w:rsidP="0071294C">
            <w:pPr>
              <w:spacing w:after="0" w:line="240" w:lineRule="auto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2AE80565" w:rsidR="0041456C" w:rsidRPr="00A2491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A2491C">
              <w:rPr>
                <w:rFonts w:ascii="Verdana" w:eastAsia="Gill Sans MT" w:hAnsi="Verdana" w:cs="Arial"/>
                <w:b/>
                <w:lang w:val="en-GB"/>
              </w:rPr>
              <w:t>Skills</w:t>
            </w:r>
          </w:p>
          <w:p w14:paraId="67090A89" w14:textId="77777777" w:rsidR="00503035" w:rsidRPr="00A2491C" w:rsidRDefault="00503035" w:rsidP="00503035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Competent in using figures and financial analyzing techniques</w:t>
            </w:r>
          </w:p>
          <w:p w14:paraId="1A0B3AC9" w14:textId="77777777" w:rsidR="00503035" w:rsidRDefault="00503035" w:rsidP="00503035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>Ability to liaise and impart financial information to a variety of people with different levels of understanding.</w:t>
            </w:r>
          </w:p>
          <w:p w14:paraId="7F74B661" w14:textId="24A5063E" w:rsidR="0075320E" w:rsidRPr="00A2491C" w:rsidRDefault="00585683" w:rsidP="00503035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a</w:t>
            </w:r>
            <w:r w:rsidR="0075320E">
              <w:rPr>
                <w:rFonts w:ascii="Verdana" w:hAnsi="Verdana"/>
              </w:rPr>
              <w:t>bility to work on</w:t>
            </w:r>
            <w:r>
              <w:rPr>
                <w:rFonts w:ascii="Verdana" w:hAnsi="Verdana"/>
              </w:rPr>
              <w:t xml:space="preserve"> your</w:t>
            </w:r>
            <w:r w:rsidR="0075320E">
              <w:rPr>
                <w:rFonts w:ascii="Verdana" w:hAnsi="Verdana"/>
              </w:rPr>
              <w:t xml:space="preserve"> own initiative </w:t>
            </w:r>
          </w:p>
          <w:p w14:paraId="0EFD44B0" w14:textId="11D10075" w:rsidR="0041456C" w:rsidRPr="00A2491C" w:rsidRDefault="0041456C" w:rsidP="00503035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</w:rPr>
            </w:pPr>
            <w:r w:rsidRPr="00A2491C">
              <w:rPr>
                <w:rFonts w:ascii="Verdana" w:hAnsi="Verdana"/>
              </w:rPr>
              <w:t xml:space="preserve">This post is designated as a casual car user </w:t>
            </w:r>
          </w:p>
        </w:tc>
        <w:tc>
          <w:tcPr>
            <w:tcW w:w="1946" w:type="dxa"/>
          </w:tcPr>
          <w:p w14:paraId="7745C2FD" w14:textId="77777777" w:rsidR="0071294C" w:rsidRDefault="0071294C" w:rsidP="0071294C">
            <w:pPr>
              <w:spacing w:after="0"/>
              <w:rPr>
                <w:rFonts w:ascii="Gill Sans MT" w:eastAsia="Gill Sans MT" w:hAnsi="Gill Sans MT"/>
              </w:rPr>
            </w:pPr>
          </w:p>
          <w:p w14:paraId="56CD55B2" w14:textId="3FC4ADA1" w:rsidR="00503035" w:rsidRDefault="00503035" w:rsidP="0071294C">
            <w:pPr>
              <w:spacing w:after="0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73E3BF39" w14:textId="4C03758F" w:rsidR="00503035" w:rsidRDefault="00503035" w:rsidP="0071294C">
            <w:pPr>
              <w:spacing w:after="0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A/1</w:t>
            </w:r>
          </w:p>
          <w:p w14:paraId="71336F77" w14:textId="77777777" w:rsidR="0071294C" w:rsidRDefault="0071294C" w:rsidP="004F111A">
            <w:pPr>
              <w:spacing w:after="0" w:line="240" w:lineRule="auto"/>
              <w:rPr>
                <w:rFonts w:ascii="Gill Sans MT" w:eastAsia="Gill Sans MT" w:hAnsi="Gill Sans MT"/>
              </w:rPr>
            </w:pPr>
          </w:p>
          <w:p w14:paraId="6FFCBD7C" w14:textId="0470E856" w:rsidR="004F111A" w:rsidRDefault="004F111A" w:rsidP="0071294C">
            <w:pPr>
              <w:spacing w:after="0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1C6BA5A" w14:textId="2E776CA2" w:rsidR="0041456C" w:rsidRPr="0041456C" w:rsidRDefault="004C71C7" w:rsidP="004C71C7">
            <w:pPr>
              <w:spacing w:after="0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lastRenderedPageBreak/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54D3FD5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072C7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Talent and Resourcing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="00F072C7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01785 278300.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54D3FD5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072C7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Talent and Resourcing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on </w:t>
                      </w:r>
                      <w:r w:rsidR="00F072C7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01785 278300.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0D35" w14:textId="77777777" w:rsidR="008D0864" w:rsidRDefault="008D0864" w:rsidP="003E7AA3">
      <w:pPr>
        <w:spacing w:after="0" w:line="240" w:lineRule="auto"/>
      </w:pPr>
      <w:r>
        <w:separator/>
      </w:r>
    </w:p>
  </w:endnote>
  <w:endnote w:type="continuationSeparator" w:id="0">
    <w:p w14:paraId="6DDFC4FC" w14:textId="77777777" w:rsidR="008D0864" w:rsidRDefault="008D0864" w:rsidP="003E7AA3">
      <w:pPr>
        <w:spacing w:after="0" w:line="240" w:lineRule="auto"/>
      </w:pPr>
      <w:r>
        <w:continuationSeparator/>
      </w:r>
    </w:p>
  </w:endnote>
  <w:endnote w:type="continuationNotice" w:id="1">
    <w:p w14:paraId="36E095E1" w14:textId="77777777" w:rsidR="008D0864" w:rsidRDefault="008D08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78AF" w14:textId="77777777" w:rsidR="008D0864" w:rsidRDefault="008D0864" w:rsidP="003E7AA3">
      <w:pPr>
        <w:spacing w:after="0" w:line="240" w:lineRule="auto"/>
      </w:pPr>
      <w:r>
        <w:separator/>
      </w:r>
    </w:p>
  </w:footnote>
  <w:footnote w:type="continuationSeparator" w:id="0">
    <w:p w14:paraId="791C875E" w14:textId="77777777" w:rsidR="008D0864" w:rsidRDefault="008D0864" w:rsidP="003E7AA3">
      <w:pPr>
        <w:spacing w:after="0" w:line="240" w:lineRule="auto"/>
      </w:pPr>
      <w:r>
        <w:continuationSeparator/>
      </w:r>
    </w:p>
  </w:footnote>
  <w:footnote w:type="continuationNotice" w:id="1">
    <w:p w14:paraId="58D07C35" w14:textId="77777777" w:rsidR="008D0864" w:rsidRDefault="008D08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EEE"/>
    <w:multiLevelType w:val="hybridMultilevel"/>
    <w:tmpl w:val="E6A4B224"/>
    <w:lvl w:ilvl="0" w:tplc="971223B4">
      <w:start w:val="1"/>
      <w:numFmt w:val="decimal"/>
      <w:lvlText w:val="%1."/>
      <w:lvlJc w:val="left"/>
      <w:pPr>
        <w:ind w:left="720" w:hanging="360"/>
      </w:pPr>
    </w:lvl>
    <w:lvl w:ilvl="1" w:tplc="12244536">
      <w:start w:val="1"/>
      <w:numFmt w:val="lowerLetter"/>
      <w:lvlText w:val="%2."/>
      <w:lvlJc w:val="left"/>
      <w:pPr>
        <w:ind w:left="1440" w:hanging="360"/>
      </w:pPr>
    </w:lvl>
    <w:lvl w:ilvl="2" w:tplc="85929108">
      <w:start w:val="1"/>
      <w:numFmt w:val="lowerRoman"/>
      <w:lvlText w:val="%3."/>
      <w:lvlJc w:val="right"/>
      <w:pPr>
        <w:ind w:left="2160" w:hanging="180"/>
      </w:pPr>
    </w:lvl>
    <w:lvl w:ilvl="3" w:tplc="54C8D684">
      <w:start w:val="1"/>
      <w:numFmt w:val="decimal"/>
      <w:lvlText w:val="%4."/>
      <w:lvlJc w:val="left"/>
      <w:pPr>
        <w:ind w:left="2880" w:hanging="360"/>
      </w:pPr>
    </w:lvl>
    <w:lvl w:ilvl="4" w:tplc="3D66DDAA">
      <w:start w:val="1"/>
      <w:numFmt w:val="lowerLetter"/>
      <w:lvlText w:val="%5."/>
      <w:lvlJc w:val="left"/>
      <w:pPr>
        <w:ind w:left="3600" w:hanging="360"/>
      </w:pPr>
    </w:lvl>
    <w:lvl w:ilvl="5" w:tplc="8552FFC6">
      <w:start w:val="1"/>
      <w:numFmt w:val="lowerRoman"/>
      <w:lvlText w:val="%6."/>
      <w:lvlJc w:val="right"/>
      <w:pPr>
        <w:ind w:left="4320" w:hanging="180"/>
      </w:pPr>
    </w:lvl>
    <w:lvl w:ilvl="6" w:tplc="D2D0050E">
      <w:start w:val="1"/>
      <w:numFmt w:val="decimal"/>
      <w:lvlText w:val="%7."/>
      <w:lvlJc w:val="left"/>
      <w:pPr>
        <w:ind w:left="5040" w:hanging="360"/>
      </w:pPr>
    </w:lvl>
    <w:lvl w:ilvl="7" w:tplc="30EC48B8">
      <w:start w:val="1"/>
      <w:numFmt w:val="lowerLetter"/>
      <w:lvlText w:val="%8."/>
      <w:lvlJc w:val="left"/>
      <w:pPr>
        <w:ind w:left="5760" w:hanging="360"/>
      </w:pPr>
    </w:lvl>
    <w:lvl w:ilvl="8" w:tplc="45D0BA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C4F22"/>
    <w:multiLevelType w:val="hybridMultilevel"/>
    <w:tmpl w:val="32E4E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4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FFF17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67547">
    <w:abstractNumId w:val="0"/>
  </w:num>
  <w:num w:numId="2" w16cid:durableId="1570768581">
    <w:abstractNumId w:val="3"/>
  </w:num>
  <w:num w:numId="3" w16cid:durableId="814612637">
    <w:abstractNumId w:val="7"/>
  </w:num>
  <w:num w:numId="4" w16cid:durableId="942880793">
    <w:abstractNumId w:val="1"/>
  </w:num>
  <w:num w:numId="5" w16cid:durableId="762802773">
    <w:abstractNumId w:val="4"/>
  </w:num>
  <w:num w:numId="6" w16cid:durableId="1248421122">
    <w:abstractNumId w:val="2"/>
  </w:num>
  <w:num w:numId="7" w16cid:durableId="978650982">
    <w:abstractNumId w:val="5"/>
  </w:num>
  <w:num w:numId="8" w16cid:durableId="1561089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3FB5"/>
    <w:rsid w:val="000043CB"/>
    <w:rsid w:val="0004578C"/>
    <w:rsid w:val="000D5971"/>
    <w:rsid w:val="000F24ED"/>
    <w:rsid w:val="001062B3"/>
    <w:rsid w:val="00141D89"/>
    <w:rsid w:val="00152EC1"/>
    <w:rsid w:val="0015741E"/>
    <w:rsid w:val="001667C8"/>
    <w:rsid w:val="00195265"/>
    <w:rsid w:val="001A15EA"/>
    <w:rsid w:val="001A7AAB"/>
    <w:rsid w:val="001F3113"/>
    <w:rsid w:val="00230F68"/>
    <w:rsid w:val="00261654"/>
    <w:rsid w:val="00265281"/>
    <w:rsid w:val="002D413B"/>
    <w:rsid w:val="00304505"/>
    <w:rsid w:val="00316CA7"/>
    <w:rsid w:val="003C11A8"/>
    <w:rsid w:val="003E7AA3"/>
    <w:rsid w:val="003F50AB"/>
    <w:rsid w:val="0041456C"/>
    <w:rsid w:val="00462A8A"/>
    <w:rsid w:val="00465664"/>
    <w:rsid w:val="00472D80"/>
    <w:rsid w:val="004C71C7"/>
    <w:rsid w:val="004F111A"/>
    <w:rsid w:val="004F2F03"/>
    <w:rsid w:val="00503035"/>
    <w:rsid w:val="00535B0F"/>
    <w:rsid w:val="00585683"/>
    <w:rsid w:val="005E2728"/>
    <w:rsid w:val="005F30DD"/>
    <w:rsid w:val="00671CC9"/>
    <w:rsid w:val="006A1CE7"/>
    <w:rsid w:val="006F144C"/>
    <w:rsid w:val="0071294C"/>
    <w:rsid w:val="0075320E"/>
    <w:rsid w:val="00770B6C"/>
    <w:rsid w:val="00792B01"/>
    <w:rsid w:val="00797BFE"/>
    <w:rsid w:val="007A6708"/>
    <w:rsid w:val="007B2EBE"/>
    <w:rsid w:val="007C736F"/>
    <w:rsid w:val="007D412E"/>
    <w:rsid w:val="0080309F"/>
    <w:rsid w:val="00810703"/>
    <w:rsid w:val="00816AA1"/>
    <w:rsid w:val="00872B70"/>
    <w:rsid w:val="0087309D"/>
    <w:rsid w:val="008D0864"/>
    <w:rsid w:val="0091203D"/>
    <w:rsid w:val="00940EB7"/>
    <w:rsid w:val="009446C3"/>
    <w:rsid w:val="00960E61"/>
    <w:rsid w:val="0096580A"/>
    <w:rsid w:val="00977EA1"/>
    <w:rsid w:val="0099470D"/>
    <w:rsid w:val="009B082D"/>
    <w:rsid w:val="00A226AA"/>
    <w:rsid w:val="00A2491C"/>
    <w:rsid w:val="00A34FE9"/>
    <w:rsid w:val="00A645DA"/>
    <w:rsid w:val="00AD6686"/>
    <w:rsid w:val="00B3483E"/>
    <w:rsid w:val="00B419A3"/>
    <w:rsid w:val="00B62CB2"/>
    <w:rsid w:val="00B71FD8"/>
    <w:rsid w:val="00B9509B"/>
    <w:rsid w:val="00B975E1"/>
    <w:rsid w:val="00BB233B"/>
    <w:rsid w:val="00BE73AF"/>
    <w:rsid w:val="00C20BE9"/>
    <w:rsid w:val="00C86E78"/>
    <w:rsid w:val="00CD038B"/>
    <w:rsid w:val="00DF0644"/>
    <w:rsid w:val="00DF0A92"/>
    <w:rsid w:val="00EB6A3B"/>
    <w:rsid w:val="00EC0C4E"/>
    <w:rsid w:val="00EE50CC"/>
    <w:rsid w:val="00F072C7"/>
    <w:rsid w:val="00F23CD2"/>
    <w:rsid w:val="00F37613"/>
    <w:rsid w:val="00F72F3D"/>
    <w:rsid w:val="00FC0179"/>
    <w:rsid w:val="00FC632D"/>
    <w:rsid w:val="00FD1913"/>
    <w:rsid w:val="00FE28F9"/>
    <w:rsid w:val="00FE537E"/>
    <w:rsid w:val="044317F1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0303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(F&amp;R)</cp:lastModifiedBy>
  <cp:revision>3</cp:revision>
  <dcterms:created xsi:type="dcterms:W3CDTF">2025-05-07T06:00:00Z</dcterms:created>
  <dcterms:modified xsi:type="dcterms:W3CDTF">2025-05-07T06:00:00Z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