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3ADE49D1">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3151C0DC" w14:textId="3F4866FF" w:rsidR="00816AA1" w:rsidRPr="00DC654B" w:rsidRDefault="00E30B0A" w:rsidP="00FA3E46">
      <w:pPr>
        <w:pStyle w:val="JobTitle"/>
        <w:tabs>
          <w:tab w:val="left" w:pos="2385"/>
        </w:tabs>
        <w:rPr>
          <w:sz w:val="36"/>
          <w:szCs w:val="36"/>
        </w:rPr>
      </w:pPr>
      <w:r w:rsidRPr="00DC654B">
        <w:rPr>
          <w:sz w:val="36"/>
          <w:szCs w:val="36"/>
        </w:rPr>
        <w:t>Legal Executive</w:t>
      </w:r>
      <w:r>
        <w:rPr>
          <w:sz w:val="36"/>
          <w:szCs w:val="36"/>
        </w:rPr>
        <w:t>/</w:t>
      </w:r>
      <w:r w:rsidR="005A5B11" w:rsidRPr="00DC654B">
        <w:rPr>
          <w:sz w:val="36"/>
          <w:szCs w:val="36"/>
        </w:rPr>
        <w:t>Solicitor/</w:t>
      </w:r>
      <w:r w:rsidR="00DC654B" w:rsidRPr="00DC654B">
        <w:rPr>
          <w:sz w:val="36"/>
          <w:szCs w:val="36"/>
        </w:rPr>
        <w:t xml:space="preserve">Barrister (Level </w:t>
      </w:r>
      <w:r>
        <w:rPr>
          <w:sz w:val="36"/>
          <w:szCs w:val="36"/>
        </w:rPr>
        <w:t>1</w:t>
      </w:r>
      <w:r w:rsidR="00DC654B" w:rsidRPr="00DC654B">
        <w:rPr>
          <w:sz w:val="36"/>
          <w:szCs w:val="36"/>
        </w:rPr>
        <w:t>)</w:t>
      </w:r>
      <w:r w:rsidR="005A5B11" w:rsidRPr="00DC654B">
        <w:rPr>
          <w:sz w:val="36"/>
          <w:szCs w:val="36"/>
        </w:rPr>
        <w:t xml:space="preserve"> </w:t>
      </w:r>
      <w:r w:rsidR="00FA3E46" w:rsidRPr="00DC654B">
        <w:rPr>
          <w:sz w:val="36"/>
          <w:szCs w:val="36"/>
        </w:rPr>
        <w:t>–</w:t>
      </w:r>
      <w:r>
        <w:rPr>
          <w:sz w:val="36"/>
          <w:szCs w:val="36"/>
        </w:rPr>
        <w:t xml:space="preserve"> </w:t>
      </w:r>
      <w:r w:rsidR="00E076BC">
        <w:rPr>
          <w:sz w:val="36"/>
          <w:szCs w:val="36"/>
        </w:rPr>
        <w:t>Childcare</w:t>
      </w:r>
      <w:r w:rsidR="001F3113" w:rsidRPr="00DC654B">
        <w:rPr>
          <w:sz w:val="36"/>
          <w:szCs w:val="36"/>
        </w:rPr>
        <w:br/>
      </w:r>
      <w:r w:rsidR="10F4C3C6" w:rsidRPr="00DC654B">
        <w:rPr>
          <w:sz w:val="36"/>
          <w:szCs w:val="36"/>
        </w:rPr>
        <w:t>Grade</w:t>
      </w:r>
      <w:r w:rsidR="60B7468B" w:rsidRPr="00DC654B">
        <w:rPr>
          <w:sz w:val="36"/>
          <w:szCs w:val="36"/>
        </w:rPr>
        <w:t>:</w:t>
      </w:r>
      <w:r w:rsidR="005A5B11" w:rsidRPr="00DC654B">
        <w:rPr>
          <w:sz w:val="36"/>
          <w:szCs w:val="36"/>
        </w:rPr>
        <w:t xml:space="preserve"> </w:t>
      </w:r>
      <w:r>
        <w:rPr>
          <w:sz w:val="36"/>
          <w:szCs w:val="36"/>
        </w:rPr>
        <w:t>9</w:t>
      </w:r>
      <w:r w:rsidR="005A5B11" w:rsidRPr="00DC654B">
        <w:rPr>
          <w:sz w:val="36"/>
          <w:szCs w:val="36"/>
        </w:rPr>
        <w:t xml:space="preserve"> </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Staffordshire Legal Services also provides services to a range of external clients which are effective, customer friendly and provide value for money.</w:t>
      </w:r>
    </w:p>
    <w:p w14:paraId="50A54C86" w14:textId="77777777"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t xml:space="preserve">We </w:t>
      </w:r>
      <w:proofErr w:type="spellStart"/>
      <w:r w:rsidRPr="00FA3E46">
        <w:rPr>
          <w:rFonts w:ascii="Verdana" w:eastAsia="Gill Sans MT" w:hAnsi="Verdana"/>
          <w:sz w:val="24"/>
          <w:szCs w:val="24"/>
        </w:rPr>
        <w:t>endeavour</w:t>
      </w:r>
      <w:proofErr w:type="spellEnd"/>
      <w:r w:rsidRPr="00FA3E46">
        <w:rPr>
          <w:rFonts w:ascii="Verdana" w:eastAsia="Gill Sans MT" w:hAnsi="Verdana"/>
          <w:sz w:val="24"/>
          <w:szCs w:val="24"/>
        </w:rPr>
        <w:t xml:space="preserve"> to deliver by taking into account our customer commitments, our values and our individual targets.</w:t>
      </w:r>
    </w:p>
    <w:p w14:paraId="1D74F45E" w14:textId="707590CF" w:rsidR="002D413B" w:rsidRPr="00816AA1" w:rsidRDefault="002D413B" w:rsidP="79EE954F">
      <w:pPr>
        <w:pStyle w:val="Body-text"/>
        <w:rPr>
          <w:i/>
          <w:iCs/>
        </w:rPr>
      </w:pPr>
    </w:p>
    <w:p w14:paraId="1FC3286B" w14:textId="77777777" w:rsidR="00816AA1" w:rsidRPr="00816AA1" w:rsidRDefault="00816AA1" w:rsidP="001F3113">
      <w:pPr>
        <w:pStyle w:val="Body-Bold"/>
      </w:pPr>
      <w:r w:rsidRPr="00816AA1">
        <w:t>Reporting Relationships</w:t>
      </w:r>
    </w:p>
    <w:p w14:paraId="1CD499BC" w14:textId="04A18545" w:rsidR="00E30B0A" w:rsidRPr="00E30B0A" w:rsidRDefault="00816AA1" w:rsidP="55AAF8B7">
      <w:pPr>
        <w:pStyle w:val="Body-Bold"/>
        <w:rPr>
          <w:rFonts w:cs="Arial"/>
          <w:b w:val="0"/>
          <w:bCs w:val="0"/>
          <w:sz w:val="22"/>
          <w:szCs w:val="22"/>
        </w:rPr>
      </w:pPr>
      <w:r>
        <w:t xml:space="preserve">Responsible to: </w:t>
      </w:r>
      <w:r w:rsidR="4AC544A3">
        <w:t xml:space="preserve"> </w:t>
      </w:r>
      <w:r w:rsidR="00E30B0A" w:rsidRPr="00E30B0A">
        <w:rPr>
          <w:rFonts w:cs="Arial"/>
          <w:b w:val="0"/>
          <w:bCs w:val="0"/>
          <w:sz w:val="22"/>
          <w:szCs w:val="22"/>
        </w:rPr>
        <w:t xml:space="preserve">Team Senior / </w:t>
      </w:r>
      <w:r w:rsidR="00E30B0A">
        <w:rPr>
          <w:rFonts w:cs="Arial"/>
          <w:b w:val="0"/>
          <w:bCs w:val="0"/>
          <w:sz w:val="22"/>
          <w:szCs w:val="22"/>
        </w:rPr>
        <w:t>DLSM</w:t>
      </w:r>
      <w:r w:rsidR="00E30B0A" w:rsidRPr="00E30B0A">
        <w:rPr>
          <w:rFonts w:cs="Arial"/>
          <w:b w:val="0"/>
          <w:bCs w:val="0"/>
          <w:sz w:val="22"/>
          <w:szCs w:val="22"/>
        </w:rPr>
        <w:t xml:space="preserve"> (</w:t>
      </w:r>
      <w:r w:rsidR="00E076BC">
        <w:rPr>
          <w:rFonts w:cs="Arial"/>
          <w:b w:val="0"/>
          <w:bCs w:val="0"/>
          <w:sz w:val="22"/>
          <w:szCs w:val="22"/>
        </w:rPr>
        <w:t>Childcare and ASC</w:t>
      </w:r>
      <w:r w:rsidR="00E30B0A" w:rsidRPr="00E30B0A">
        <w:rPr>
          <w:rFonts w:cs="Arial"/>
          <w:b w:val="0"/>
          <w:bCs w:val="0"/>
          <w:sz w:val="22"/>
          <w:szCs w:val="22"/>
        </w:rPr>
        <w:t>)</w:t>
      </w:r>
    </w:p>
    <w:p w14:paraId="4AE6A17E" w14:textId="0D0C3717" w:rsidR="725E4267" w:rsidRDefault="725E4267" w:rsidP="55AAF8B7">
      <w:pPr>
        <w:pStyle w:val="Body-Bold"/>
        <w:rPr>
          <w:rFonts w:eastAsia="Calibri"/>
          <w:color w:val="000000" w:themeColor="text1"/>
        </w:rPr>
      </w:pPr>
      <w:r w:rsidRPr="79EE954F">
        <w:rPr>
          <w:rFonts w:eastAsia="Calibri"/>
          <w:color w:val="000000" w:themeColor="text1"/>
        </w:rPr>
        <w:t>Responsible for:</w:t>
      </w:r>
      <w:r w:rsidR="2A17B73C" w:rsidRPr="79EE954F">
        <w:rPr>
          <w:rFonts w:eastAsia="Calibri"/>
          <w:color w:val="000000" w:themeColor="text1"/>
        </w:rPr>
        <w:t xml:space="preserve"> </w:t>
      </w:r>
      <w:r w:rsidR="00E30B0A">
        <w:rPr>
          <w:rFonts w:eastAsia="Calibri"/>
          <w:b w:val="0"/>
          <w:bCs w:val="0"/>
          <w:color w:val="000000" w:themeColor="text1"/>
        </w:rPr>
        <w:t>(Not applicable)</w:t>
      </w:r>
    </w:p>
    <w:p w14:paraId="1D0B7038" w14:textId="77777777" w:rsidR="00E30B0A" w:rsidRPr="00E30B0A" w:rsidRDefault="00E30B0A" w:rsidP="00E30B0A">
      <w:pPr>
        <w:jc w:val="both"/>
        <w:rPr>
          <w:rFonts w:ascii="Verdana" w:eastAsia="Gill Sans MT" w:hAnsi="Verdana"/>
          <w:b/>
          <w:sz w:val="24"/>
          <w:szCs w:val="24"/>
        </w:rPr>
      </w:pPr>
      <w:r w:rsidRPr="00E30B0A">
        <w:rPr>
          <w:rFonts w:ascii="Verdana" w:eastAsia="Gill Sans MT" w:hAnsi="Verdana"/>
          <w:b/>
          <w:sz w:val="24"/>
          <w:szCs w:val="24"/>
        </w:rPr>
        <w:t>Position Overview</w:t>
      </w:r>
    </w:p>
    <w:p w14:paraId="5ADCE7F6" w14:textId="77777777" w:rsidR="00E30B0A" w:rsidRPr="00E30B0A" w:rsidRDefault="00E30B0A" w:rsidP="00E30B0A">
      <w:pPr>
        <w:spacing w:after="0" w:line="240" w:lineRule="auto"/>
        <w:jc w:val="both"/>
        <w:rPr>
          <w:rFonts w:ascii="Verdana" w:eastAsia="Gill Sans MT" w:hAnsi="Verdana"/>
          <w:sz w:val="24"/>
          <w:szCs w:val="24"/>
        </w:rPr>
      </w:pPr>
      <w:r w:rsidRPr="00E30B0A">
        <w:rPr>
          <w:rFonts w:ascii="Verdana" w:eastAsia="Gill Sans MT" w:hAnsi="Verdana"/>
          <w:sz w:val="24"/>
          <w:szCs w:val="24"/>
        </w:rPr>
        <w:t>The post holder must have qualified as a Solicitor, or a Fellow of CILEX (and therefore eligible to be called a ‘Legal Executive’), or be a qualified Barrister.  The post holder will undertake reasonably complex legal case work relevant to length of experience/job requirements and the workload must be clearly and consistently in excess of the general level of complexity dealt with at Lawyer 4. Full case load/chargeable hours target (i.e. 1350 hours for a FTE). There is no minimum requirement for additional post qualification experience over and above that entailed in obtaining the requisite legal qualification for the post. The post holder must however have a reasonable understanding of County Council procedures and will normally require significantly more supervision and professional support than Lawyer 6 (particularly initially). In the absence of exceptional circumstances, the post does not entail any formal supervision responsibilities in respect of other team members and the post holder will therefore not be responsible for carrying out any workload reviews, or MPCs, or return to work interviews. However, the post holder will be expected to (firstly) pass on some work elements of their own case files to other fee earners where this can be achieved with minimum support and assistance and (secondly) participate in the training and guidance of other more junior staff in the same team. Cover for other colleagues in same team during periods of holiday etc.</w:t>
      </w:r>
    </w:p>
    <w:p w14:paraId="67BBBD7A" w14:textId="77777777" w:rsidR="00E30B0A" w:rsidRPr="00256DF0" w:rsidRDefault="00E30B0A" w:rsidP="00E30B0A">
      <w:pPr>
        <w:spacing w:after="0" w:line="240" w:lineRule="auto"/>
        <w:rPr>
          <w:rFonts w:ascii="Arial" w:hAnsi="Arial"/>
        </w:rPr>
      </w:pPr>
    </w:p>
    <w:p w14:paraId="2860EDDA" w14:textId="7A1D089A" w:rsidR="00E30B0A" w:rsidRDefault="00E30B0A" w:rsidP="00E30B0A">
      <w:pPr>
        <w:spacing w:after="0" w:line="240" w:lineRule="auto"/>
        <w:jc w:val="both"/>
        <w:rPr>
          <w:rFonts w:ascii="Verdana" w:eastAsia="Gill Sans MT" w:hAnsi="Verdana"/>
          <w:b/>
          <w:sz w:val="24"/>
          <w:szCs w:val="24"/>
        </w:rPr>
      </w:pPr>
      <w:r w:rsidRPr="00E30B0A">
        <w:rPr>
          <w:rFonts w:ascii="Verdana" w:eastAsia="Gill Sans MT" w:hAnsi="Verdana"/>
          <w:b/>
          <w:sz w:val="24"/>
          <w:szCs w:val="24"/>
        </w:rPr>
        <w:t>Key Accountabilities</w:t>
      </w:r>
    </w:p>
    <w:p w14:paraId="46DFF33B" w14:textId="1882FEDE" w:rsidR="00E076BC" w:rsidRDefault="00E076BC" w:rsidP="00E30B0A">
      <w:pPr>
        <w:spacing w:after="0" w:line="240" w:lineRule="auto"/>
        <w:jc w:val="both"/>
        <w:rPr>
          <w:rFonts w:ascii="Verdana" w:eastAsia="Gill Sans MT" w:hAnsi="Verdana"/>
          <w:b/>
          <w:sz w:val="24"/>
          <w:szCs w:val="24"/>
        </w:rPr>
      </w:pPr>
    </w:p>
    <w:p w14:paraId="24B44648" w14:textId="527B13F4" w:rsidR="00E076BC" w:rsidRPr="00E076BC" w:rsidRDefault="00E076BC" w:rsidP="00E076BC">
      <w:pPr>
        <w:pStyle w:val="ListParagraph"/>
        <w:numPr>
          <w:ilvl w:val="0"/>
          <w:numId w:val="17"/>
        </w:numPr>
        <w:tabs>
          <w:tab w:val="left" w:pos="600"/>
        </w:tabs>
        <w:ind w:hanging="720"/>
        <w:rPr>
          <w:rFonts w:ascii="Verdana" w:hAnsi="Verdana"/>
          <w:sz w:val="24"/>
          <w:szCs w:val="24"/>
        </w:rPr>
      </w:pPr>
      <w:r w:rsidRPr="00E076BC">
        <w:rPr>
          <w:rFonts w:ascii="Verdana" w:hAnsi="Verdana"/>
          <w:sz w:val="24"/>
          <w:szCs w:val="24"/>
        </w:rPr>
        <w:t>The conduct of child care litigation and legal advice on issues related to children.</w:t>
      </w:r>
    </w:p>
    <w:p w14:paraId="32F9033C" w14:textId="77777777" w:rsidR="00E076BC" w:rsidRPr="00E076BC" w:rsidRDefault="00E076BC" w:rsidP="00E076BC">
      <w:pPr>
        <w:tabs>
          <w:tab w:val="left" w:pos="600"/>
        </w:tabs>
        <w:ind w:left="600" w:hanging="600"/>
        <w:rPr>
          <w:rFonts w:ascii="Verdana" w:hAnsi="Verdana"/>
          <w:sz w:val="24"/>
          <w:szCs w:val="24"/>
        </w:rPr>
      </w:pPr>
      <w:r w:rsidRPr="00E076BC">
        <w:rPr>
          <w:rFonts w:ascii="Verdana" w:hAnsi="Verdana"/>
          <w:sz w:val="24"/>
          <w:szCs w:val="24"/>
        </w:rPr>
        <w:t>2.</w:t>
      </w:r>
      <w:r w:rsidRPr="00E076BC">
        <w:rPr>
          <w:rFonts w:ascii="Verdana" w:hAnsi="Verdana"/>
          <w:sz w:val="24"/>
          <w:szCs w:val="24"/>
        </w:rPr>
        <w:tab/>
        <w:t>Legal advice on certain aspects of social services law relating to adults and the conduct of litigation on social services matters.</w:t>
      </w:r>
    </w:p>
    <w:p w14:paraId="15FDEECA" w14:textId="77777777" w:rsidR="00E076BC" w:rsidRPr="00E076BC" w:rsidRDefault="00E076BC" w:rsidP="00E076BC">
      <w:pPr>
        <w:tabs>
          <w:tab w:val="left" w:pos="600"/>
        </w:tabs>
        <w:rPr>
          <w:rFonts w:ascii="Verdana" w:hAnsi="Verdana"/>
          <w:sz w:val="24"/>
          <w:szCs w:val="24"/>
        </w:rPr>
      </w:pPr>
    </w:p>
    <w:p w14:paraId="49BE74A1" w14:textId="77777777" w:rsidR="00E076BC" w:rsidRPr="00E076BC" w:rsidRDefault="00E076BC" w:rsidP="00E076BC">
      <w:pPr>
        <w:tabs>
          <w:tab w:val="left" w:pos="600"/>
        </w:tabs>
        <w:rPr>
          <w:rFonts w:ascii="Verdana" w:hAnsi="Verdana"/>
          <w:sz w:val="24"/>
          <w:szCs w:val="24"/>
        </w:rPr>
      </w:pPr>
      <w:r w:rsidRPr="00E076BC">
        <w:rPr>
          <w:rFonts w:ascii="Verdana" w:hAnsi="Verdana"/>
          <w:sz w:val="24"/>
          <w:szCs w:val="24"/>
        </w:rPr>
        <w:lastRenderedPageBreak/>
        <w:t>3.</w:t>
      </w:r>
      <w:r w:rsidRPr="00E076BC">
        <w:rPr>
          <w:rFonts w:ascii="Verdana" w:hAnsi="Verdana"/>
          <w:sz w:val="24"/>
          <w:szCs w:val="24"/>
        </w:rPr>
        <w:tab/>
        <w:t>Miscellaneous litigation.</w:t>
      </w:r>
    </w:p>
    <w:p w14:paraId="0183DD32" w14:textId="77777777" w:rsidR="00E076BC" w:rsidRPr="00E076BC" w:rsidRDefault="00E076BC" w:rsidP="00E076BC">
      <w:pPr>
        <w:tabs>
          <w:tab w:val="left" w:pos="600"/>
        </w:tabs>
        <w:ind w:left="600" w:hanging="600"/>
        <w:jc w:val="both"/>
        <w:rPr>
          <w:rFonts w:ascii="Verdana" w:hAnsi="Verdana"/>
          <w:sz w:val="24"/>
          <w:szCs w:val="24"/>
        </w:rPr>
      </w:pPr>
      <w:r w:rsidRPr="00E076BC">
        <w:rPr>
          <w:rFonts w:ascii="Verdana" w:hAnsi="Verdana"/>
          <w:sz w:val="24"/>
          <w:szCs w:val="24"/>
        </w:rPr>
        <w:t>4.</w:t>
      </w:r>
      <w:r w:rsidRPr="00E076BC">
        <w:rPr>
          <w:rFonts w:ascii="Verdana" w:hAnsi="Verdana"/>
          <w:sz w:val="24"/>
          <w:szCs w:val="24"/>
        </w:rPr>
        <w:tab/>
        <w:t>Adherence to the Legal Services Unit’s quality standards (</w:t>
      </w:r>
      <w:proofErr w:type="spellStart"/>
      <w:r w:rsidRPr="00E076BC">
        <w:rPr>
          <w:rFonts w:ascii="Verdana" w:hAnsi="Verdana"/>
          <w:sz w:val="24"/>
          <w:szCs w:val="24"/>
        </w:rPr>
        <w:t>Lexcel</w:t>
      </w:r>
      <w:proofErr w:type="spellEnd"/>
      <w:r w:rsidRPr="00E076BC">
        <w:rPr>
          <w:rFonts w:ascii="Verdana" w:hAnsi="Verdana"/>
          <w:sz w:val="24"/>
          <w:szCs w:val="24"/>
        </w:rPr>
        <w:t>) including time-recording and contributing to the process of securing re-accreditation as and when.</w:t>
      </w:r>
    </w:p>
    <w:p w14:paraId="5B481BB8" w14:textId="77777777" w:rsidR="00E076BC" w:rsidRPr="00E076BC" w:rsidRDefault="00E076BC" w:rsidP="00E076BC">
      <w:pPr>
        <w:tabs>
          <w:tab w:val="left" w:pos="600"/>
        </w:tabs>
        <w:ind w:left="600" w:hanging="600"/>
        <w:rPr>
          <w:rFonts w:ascii="Verdana" w:hAnsi="Verdana"/>
          <w:sz w:val="24"/>
          <w:szCs w:val="24"/>
        </w:rPr>
      </w:pPr>
      <w:r w:rsidRPr="00E076BC">
        <w:rPr>
          <w:rFonts w:ascii="Verdana" w:hAnsi="Verdana"/>
          <w:sz w:val="24"/>
          <w:szCs w:val="24"/>
        </w:rPr>
        <w:t>5.</w:t>
      </w:r>
      <w:r w:rsidRPr="00E076BC">
        <w:rPr>
          <w:rFonts w:ascii="Verdana" w:hAnsi="Verdana"/>
          <w:sz w:val="24"/>
          <w:szCs w:val="24"/>
        </w:rPr>
        <w:tab/>
        <w:t>To undertake in-service training as required by the training plan and to participate in the in-service training of other staff.</w:t>
      </w:r>
    </w:p>
    <w:p w14:paraId="08C033D7" w14:textId="77777777" w:rsidR="00E076BC" w:rsidRPr="00E076BC" w:rsidRDefault="00E076BC" w:rsidP="00E076BC">
      <w:pPr>
        <w:tabs>
          <w:tab w:val="left" w:pos="600"/>
        </w:tabs>
        <w:ind w:left="600" w:hanging="600"/>
        <w:rPr>
          <w:rFonts w:ascii="Verdana" w:hAnsi="Verdana"/>
          <w:sz w:val="24"/>
          <w:szCs w:val="24"/>
        </w:rPr>
      </w:pPr>
      <w:r w:rsidRPr="00E076BC">
        <w:rPr>
          <w:rFonts w:ascii="Verdana" w:hAnsi="Verdana"/>
          <w:sz w:val="24"/>
          <w:szCs w:val="24"/>
        </w:rPr>
        <w:t>6.</w:t>
      </w:r>
      <w:r w:rsidRPr="00E076BC">
        <w:rPr>
          <w:rFonts w:ascii="Verdana" w:hAnsi="Verdana"/>
          <w:sz w:val="24"/>
          <w:szCs w:val="24"/>
        </w:rPr>
        <w:tab/>
        <w:t>To comply with employee’s health and safety responsibilities.</w:t>
      </w:r>
    </w:p>
    <w:p w14:paraId="77640A1B" w14:textId="77777777" w:rsidR="00E076BC" w:rsidRPr="00E076BC" w:rsidRDefault="00E076BC" w:rsidP="00E076BC">
      <w:pPr>
        <w:tabs>
          <w:tab w:val="left" w:pos="600"/>
        </w:tabs>
        <w:ind w:left="600" w:hanging="600"/>
        <w:rPr>
          <w:rFonts w:ascii="Verdana" w:hAnsi="Verdana"/>
          <w:sz w:val="24"/>
          <w:szCs w:val="24"/>
        </w:rPr>
      </w:pPr>
      <w:r w:rsidRPr="00E076BC">
        <w:rPr>
          <w:rFonts w:ascii="Verdana" w:hAnsi="Verdana"/>
          <w:sz w:val="24"/>
          <w:szCs w:val="24"/>
        </w:rPr>
        <w:t>7.</w:t>
      </w:r>
      <w:r w:rsidRPr="00E076BC">
        <w:rPr>
          <w:rFonts w:ascii="Verdana" w:hAnsi="Verdana"/>
          <w:sz w:val="24"/>
          <w:szCs w:val="24"/>
        </w:rPr>
        <w:tab/>
        <w:t>Such other duties as may reasonably be required, including complaint investigations.</w:t>
      </w:r>
    </w:p>
    <w:p w14:paraId="74409A0E" w14:textId="77777777" w:rsidR="00E30B0A" w:rsidRPr="00E30B0A" w:rsidRDefault="00E30B0A" w:rsidP="00E30B0A">
      <w:pPr>
        <w:spacing w:after="0" w:line="240" w:lineRule="auto"/>
        <w:rPr>
          <w:rFonts w:ascii="Verdana" w:hAnsi="Verdana"/>
          <w:b/>
          <w:smallCaps/>
          <w:sz w:val="24"/>
          <w:szCs w:val="24"/>
        </w:rPr>
      </w:pPr>
      <w:r w:rsidRPr="00E30B0A">
        <w:rPr>
          <w:rFonts w:ascii="Verdana" w:hAnsi="Verdana"/>
          <w:b/>
          <w:smallCaps/>
          <w:sz w:val="24"/>
          <w:szCs w:val="24"/>
        </w:rPr>
        <w:t>Additional</w:t>
      </w:r>
    </w:p>
    <w:p w14:paraId="6D62F482" w14:textId="77777777" w:rsidR="00E30B0A" w:rsidRPr="00E30B0A" w:rsidRDefault="00E30B0A" w:rsidP="00E30B0A">
      <w:pPr>
        <w:spacing w:after="0" w:line="240" w:lineRule="auto"/>
        <w:rPr>
          <w:rFonts w:ascii="Verdana" w:hAnsi="Verdana"/>
          <w:b/>
          <w:smallCaps/>
          <w:sz w:val="24"/>
          <w:szCs w:val="24"/>
          <w:u w:val="single"/>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4200"/>
      </w:tblGrid>
      <w:tr w:rsidR="00E30B0A" w:rsidRPr="00E30B0A" w14:paraId="2396502B" w14:textId="77777777" w:rsidTr="0040413B">
        <w:tc>
          <w:tcPr>
            <w:tcW w:w="3720" w:type="dxa"/>
          </w:tcPr>
          <w:p w14:paraId="084B0EF3"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Driving Requirement</w:t>
            </w:r>
          </w:p>
        </w:tc>
        <w:tc>
          <w:tcPr>
            <w:tcW w:w="4200" w:type="dxa"/>
          </w:tcPr>
          <w:p w14:paraId="42892D29"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Yes</w:t>
            </w:r>
          </w:p>
        </w:tc>
      </w:tr>
      <w:tr w:rsidR="00E30B0A" w:rsidRPr="00E30B0A" w14:paraId="4F802DCB" w14:textId="77777777" w:rsidTr="0040413B">
        <w:tc>
          <w:tcPr>
            <w:tcW w:w="3720" w:type="dxa"/>
          </w:tcPr>
          <w:p w14:paraId="588E4608"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Car Allowance</w:t>
            </w:r>
          </w:p>
        </w:tc>
        <w:tc>
          <w:tcPr>
            <w:tcW w:w="4200" w:type="dxa"/>
          </w:tcPr>
          <w:p w14:paraId="65217486" w14:textId="397C8C3E" w:rsidR="00E30B0A" w:rsidRPr="00E30B0A" w:rsidRDefault="00E076BC" w:rsidP="00E30B0A">
            <w:pPr>
              <w:spacing w:after="0" w:line="240" w:lineRule="auto"/>
              <w:rPr>
                <w:rFonts w:ascii="Verdana" w:hAnsi="Verdana"/>
                <w:sz w:val="24"/>
                <w:szCs w:val="24"/>
              </w:rPr>
            </w:pPr>
            <w:r>
              <w:rPr>
                <w:rFonts w:ascii="Verdana" w:hAnsi="Verdana"/>
                <w:sz w:val="24"/>
                <w:szCs w:val="24"/>
              </w:rPr>
              <w:t>Essential</w:t>
            </w:r>
          </w:p>
        </w:tc>
      </w:tr>
      <w:tr w:rsidR="00E30B0A" w:rsidRPr="00E30B0A" w14:paraId="22468A02" w14:textId="77777777" w:rsidTr="0040413B">
        <w:tc>
          <w:tcPr>
            <w:tcW w:w="3720" w:type="dxa"/>
          </w:tcPr>
          <w:p w14:paraId="03699AEB"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Worker type</w:t>
            </w:r>
          </w:p>
        </w:tc>
        <w:tc>
          <w:tcPr>
            <w:tcW w:w="4200" w:type="dxa"/>
          </w:tcPr>
          <w:p w14:paraId="0568D881"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Initially Flexible</w:t>
            </w:r>
          </w:p>
        </w:tc>
      </w:tr>
      <w:tr w:rsidR="00E30B0A" w:rsidRPr="00E30B0A" w14:paraId="1AFB1F75" w14:textId="77777777" w:rsidTr="0040413B">
        <w:tc>
          <w:tcPr>
            <w:tcW w:w="3720" w:type="dxa"/>
          </w:tcPr>
          <w:p w14:paraId="07292A99"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Flexi time</w:t>
            </w:r>
          </w:p>
        </w:tc>
        <w:tc>
          <w:tcPr>
            <w:tcW w:w="4200" w:type="dxa"/>
          </w:tcPr>
          <w:p w14:paraId="5153E814"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Yes</w:t>
            </w:r>
          </w:p>
        </w:tc>
      </w:tr>
    </w:tbl>
    <w:p w14:paraId="2EF29D54" w14:textId="77777777" w:rsidR="00E30B0A" w:rsidRPr="00847383" w:rsidRDefault="00E30B0A" w:rsidP="00E30B0A">
      <w:pPr>
        <w:rPr>
          <w:rFonts w:ascii="Arial" w:hAnsi="Arial"/>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4F3AA7"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4F3AA7">
        <w:rPr>
          <w:rFonts w:ascii="Verdana" w:eastAsiaTheme="minorHAnsi" w:hAnsi="Verdana"/>
          <w:lang w:val="en-GB"/>
        </w:rPr>
        <w:t xml:space="preserve">A = Assessed at Application </w:t>
      </w:r>
    </w:p>
    <w:p w14:paraId="1208F236" w14:textId="77777777" w:rsidR="0041456C" w:rsidRPr="004F3AA7"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4F3AA7">
        <w:rPr>
          <w:rFonts w:ascii="Verdana" w:hAnsi="Verdana" w:cs="Arial"/>
          <w:color w:val="000000"/>
          <w:sz w:val="23"/>
          <w:szCs w:val="23"/>
          <w:lang w:val="en-GB"/>
        </w:rPr>
        <w:t xml:space="preserve">I = Assessed at Interview </w:t>
      </w:r>
    </w:p>
    <w:p w14:paraId="335978C5" w14:textId="7C40C114" w:rsidR="0041456C" w:rsidRPr="004F3AA7"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4F3AA7">
        <w:rPr>
          <w:rFonts w:ascii="Verdana" w:hAnsi="Verdana" w:cs="Arial"/>
          <w:color w:val="000000"/>
          <w:sz w:val="23"/>
          <w:szCs w:val="23"/>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57556026" w14:textId="584CCBC0" w:rsidR="0041456C" w:rsidRPr="0041456C" w:rsidRDefault="0041456C" w:rsidP="004F3AA7">
            <w:pPr>
              <w:jc w:val="both"/>
              <w:rPr>
                <w:rFonts w:ascii="Gill Sans MT" w:eastAsia="Gill Sans MT" w:hAnsi="Gill Sans MT"/>
                <w:sz w:val="16"/>
                <w:szCs w:val="16"/>
              </w:rPr>
            </w:pPr>
            <w:r w:rsidRPr="0041456C">
              <w:rPr>
                <w:rFonts w:ascii="Verdana" w:hAnsi="Verdana" w:cs="Avenir Heavy"/>
                <w:b/>
                <w:bCs/>
                <w:color w:val="000000"/>
                <w:sz w:val="16"/>
                <w:szCs w:val="16"/>
                <w:lang w:val="en-GB"/>
              </w:rPr>
              <w:t>Minimum Criteria for Disability Confident</w:t>
            </w:r>
            <w:r w:rsidR="004F3AA7">
              <w:rPr>
                <w:rFonts w:ascii="Verdana" w:hAnsi="Verdana" w:cs="Avenir Heavy"/>
                <w:b/>
                <w:bCs/>
                <w:color w:val="000000"/>
                <w:sz w:val="16"/>
                <w:szCs w:val="16"/>
                <w:lang w:val="en-GB"/>
              </w:rPr>
              <w:t xml:space="preserve"> </w:t>
            </w: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Pr="00E30B0A" w:rsidRDefault="2AE77744" w:rsidP="79EE954F">
            <w:pPr>
              <w:pStyle w:val="ListParagraph"/>
              <w:spacing w:after="0" w:line="240" w:lineRule="auto"/>
              <w:ind w:left="0"/>
              <w:jc w:val="both"/>
              <w:rPr>
                <w:rFonts w:ascii="Verdana" w:eastAsia="Gill Sans MT" w:hAnsi="Verdana" w:cs="Gill Sans MT"/>
                <w:b/>
                <w:bCs/>
              </w:rPr>
            </w:pPr>
            <w:r w:rsidRPr="00E30B0A">
              <w:rPr>
                <w:rFonts w:ascii="Verdana" w:eastAsia="Gill Sans MT" w:hAnsi="Verdana" w:cs="Gill Sans MT"/>
                <w:b/>
                <w:bCs/>
              </w:rPr>
              <w:t>Qualifications</w:t>
            </w:r>
          </w:p>
          <w:p w14:paraId="7B9104CE" w14:textId="77777777" w:rsidR="00E30B0A" w:rsidRPr="00E30B0A" w:rsidRDefault="00E30B0A" w:rsidP="00E30B0A">
            <w:pPr>
              <w:numPr>
                <w:ilvl w:val="0"/>
                <w:numId w:val="11"/>
              </w:numPr>
              <w:tabs>
                <w:tab w:val="left" w:pos="372"/>
              </w:tabs>
              <w:spacing w:after="0" w:line="240" w:lineRule="auto"/>
              <w:rPr>
                <w:rFonts w:ascii="Verdana" w:hAnsi="Verdana"/>
              </w:rPr>
            </w:pPr>
            <w:r w:rsidRPr="00E30B0A">
              <w:rPr>
                <w:rFonts w:ascii="Verdana" w:hAnsi="Verdana"/>
              </w:rPr>
              <w:t>Newly qualified Solicitor with practicing certificate or equivalent as per job description.</w:t>
            </w:r>
          </w:p>
          <w:p w14:paraId="37CAC9F3" w14:textId="77777777" w:rsidR="00E076BC" w:rsidRDefault="00E30B0A" w:rsidP="00E30B0A">
            <w:pPr>
              <w:numPr>
                <w:ilvl w:val="0"/>
                <w:numId w:val="11"/>
              </w:numPr>
              <w:tabs>
                <w:tab w:val="left" w:pos="372"/>
              </w:tabs>
              <w:spacing w:after="0" w:line="240" w:lineRule="auto"/>
              <w:rPr>
                <w:rFonts w:ascii="Verdana" w:hAnsi="Verdana"/>
              </w:rPr>
            </w:pPr>
            <w:r w:rsidRPr="00E30B0A">
              <w:rPr>
                <w:rFonts w:ascii="Verdana" w:hAnsi="Verdana"/>
              </w:rPr>
              <w:t xml:space="preserve">Complex work relevant to length of experience. </w:t>
            </w:r>
          </w:p>
          <w:p w14:paraId="05723DFD" w14:textId="72C39E3B" w:rsidR="00E30B0A" w:rsidRPr="00E30B0A" w:rsidRDefault="00E076BC" w:rsidP="00E30B0A">
            <w:pPr>
              <w:numPr>
                <w:ilvl w:val="0"/>
                <w:numId w:val="11"/>
              </w:numPr>
              <w:tabs>
                <w:tab w:val="left" w:pos="372"/>
              </w:tabs>
              <w:spacing w:after="0" w:line="240" w:lineRule="auto"/>
              <w:rPr>
                <w:rFonts w:ascii="Verdana" w:hAnsi="Verdana"/>
              </w:rPr>
            </w:pPr>
            <w:r>
              <w:rPr>
                <w:rFonts w:ascii="Verdana" w:hAnsi="Verdana"/>
              </w:rPr>
              <w:t>2 years training experience completed.</w:t>
            </w:r>
            <w:r w:rsidR="00E30B0A" w:rsidRPr="00E30B0A">
              <w:rPr>
                <w:rFonts w:ascii="Verdana" w:hAnsi="Verdana"/>
              </w:rPr>
              <w:t xml:space="preserve"> </w:t>
            </w:r>
          </w:p>
          <w:p w14:paraId="74AB4191" w14:textId="0DA2362A" w:rsidR="00FA3E46" w:rsidRPr="0041456C" w:rsidRDefault="00FA3E46"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2A9EFC33" w:rsidR="0041456C" w:rsidRDefault="0041456C" w:rsidP="0041456C">
            <w:pPr>
              <w:rPr>
                <w:rFonts w:ascii="Gill Sans MT" w:eastAsia="Gill Sans MT" w:hAnsi="Gill Sans MT"/>
              </w:rPr>
            </w:pPr>
          </w:p>
          <w:p w14:paraId="303DF371" w14:textId="76109CA7" w:rsidR="00FA3E46" w:rsidRPr="0041456C" w:rsidRDefault="00FA3E46" w:rsidP="0041456C">
            <w:pPr>
              <w:rPr>
                <w:rFonts w:ascii="Gill Sans MT" w:eastAsia="Gill Sans MT" w:hAnsi="Gill Sans MT"/>
              </w:rPr>
            </w:pPr>
            <w:r>
              <w:rPr>
                <w:rFonts w:ascii="Gill Sans MT" w:eastAsia="Gill Sans MT" w:hAnsi="Gill Sans MT"/>
              </w:rPr>
              <w:t>A</w:t>
            </w: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59067C5E" w14:textId="0A01C543" w:rsidR="000930A6" w:rsidRDefault="0041456C"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F95C4F" w14:textId="67A5A16B" w:rsidR="000930A6" w:rsidRDefault="000930A6" w:rsidP="000930A6">
            <w:pPr>
              <w:jc w:val="center"/>
              <w:rPr>
                <w:rFonts w:ascii="Gill Sans MT" w:eastAsia="Gill Sans MT" w:hAnsi="Gill Sans MT"/>
              </w:rPr>
            </w:pPr>
          </w:p>
          <w:p w14:paraId="582E6388" w14:textId="06AD3432" w:rsidR="00FB11CC" w:rsidRDefault="00FB11CC" w:rsidP="000930A6">
            <w:pPr>
              <w:jc w:val="center"/>
              <w:rPr>
                <w:rFonts w:ascii="Gill Sans MT" w:eastAsia="Gill Sans MT" w:hAnsi="Gill Sans MT"/>
              </w:rPr>
            </w:pPr>
          </w:p>
          <w:p w14:paraId="3DB82932" w14:textId="77777777" w:rsidR="00FB11CC" w:rsidRDefault="00FB11CC" w:rsidP="000930A6">
            <w:pPr>
              <w:jc w:val="center"/>
              <w:rPr>
                <w:rFonts w:ascii="Gill Sans MT" w:eastAsia="Gill Sans MT" w:hAnsi="Gill Sans MT"/>
              </w:rPr>
            </w:pPr>
          </w:p>
          <w:p w14:paraId="2A40B1B5" w14:textId="0EEE3703" w:rsidR="000930A6" w:rsidRPr="0041456C" w:rsidRDefault="000930A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3C121CA" wp14:editId="033A28F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C511E32" w14:textId="77777777" w:rsidR="0041456C" w:rsidRDefault="0041456C" w:rsidP="0041456C">
            <w:pPr>
              <w:jc w:val="center"/>
              <w:rPr>
                <w:rFonts w:ascii="Gill Sans MT" w:eastAsia="Gill Sans MT" w:hAnsi="Gill Sans MT"/>
              </w:rPr>
            </w:pPr>
          </w:p>
          <w:p w14:paraId="27B379E6" w14:textId="77777777" w:rsidR="00E076BC" w:rsidRDefault="00E076BC" w:rsidP="0041456C">
            <w:pPr>
              <w:jc w:val="center"/>
              <w:rPr>
                <w:rFonts w:ascii="Gill Sans MT" w:eastAsia="Gill Sans MT" w:hAnsi="Gill Sans MT"/>
              </w:rPr>
            </w:pPr>
          </w:p>
          <w:p w14:paraId="71FC401B" w14:textId="77777777" w:rsidR="00E076BC" w:rsidRDefault="00E076BC" w:rsidP="0041456C">
            <w:pPr>
              <w:jc w:val="center"/>
              <w:rPr>
                <w:rFonts w:ascii="Gill Sans MT" w:eastAsia="Gill Sans MT" w:hAnsi="Gill Sans MT"/>
              </w:rPr>
            </w:pPr>
          </w:p>
          <w:p w14:paraId="70947502" w14:textId="77777777" w:rsidR="00E076BC" w:rsidRDefault="00E076BC" w:rsidP="0041456C">
            <w:pPr>
              <w:jc w:val="center"/>
              <w:rPr>
                <w:rFonts w:ascii="Gill Sans MT" w:eastAsia="Gill Sans MT" w:hAnsi="Gill Sans MT"/>
              </w:rPr>
            </w:pPr>
          </w:p>
          <w:p w14:paraId="31D679DD" w14:textId="77777777" w:rsidR="00E076BC" w:rsidRDefault="00E076BC" w:rsidP="0041456C">
            <w:pPr>
              <w:jc w:val="center"/>
              <w:rPr>
                <w:rFonts w:ascii="Gill Sans MT" w:eastAsia="Gill Sans MT" w:hAnsi="Gill Sans MT"/>
              </w:rPr>
            </w:pPr>
          </w:p>
          <w:p w14:paraId="0D8553D8" w14:textId="150BD9B2" w:rsidR="00E076BC" w:rsidRDefault="00E076B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02AB42A2" wp14:editId="7F27E078">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D2C4BB0" w14:textId="0C0DEE8D" w:rsidR="00E076BC" w:rsidRPr="0041456C" w:rsidRDefault="00E076BC" w:rsidP="0041456C">
            <w:pPr>
              <w:jc w:val="center"/>
              <w:rPr>
                <w:rFonts w:ascii="Gill Sans MT" w:eastAsia="Gill Sans MT" w:hAnsi="Gill Sans MT"/>
              </w:rPr>
            </w:pPr>
          </w:p>
        </w:tc>
        <w:tc>
          <w:tcPr>
            <w:tcW w:w="7440" w:type="dxa"/>
          </w:tcPr>
          <w:p w14:paraId="551CEF27" w14:textId="77777777" w:rsidR="00E30B0A" w:rsidRPr="004F3AA7" w:rsidRDefault="00E30B0A" w:rsidP="00E30B0A">
            <w:pPr>
              <w:jc w:val="both"/>
              <w:rPr>
                <w:rFonts w:ascii="Verdana" w:hAnsi="Verdana"/>
              </w:rPr>
            </w:pPr>
            <w:r w:rsidRPr="004F3AA7">
              <w:rPr>
                <w:rFonts w:ascii="Verdana" w:hAnsi="Verdana"/>
                <w:b/>
              </w:rPr>
              <w:t>Knowledge and Experience</w:t>
            </w:r>
          </w:p>
          <w:p w14:paraId="520F7CEA" w14:textId="77777777" w:rsidR="00E30B0A" w:rsidRPr="00E30B0A" w:rsidRDefault="00E30B0A" w:rsidP="00E30B0A">
            <w:pPr>
              <w:numPr>
                <w:ilvl w:val="0"/>
                <w:numId w:val="13"/>
              </w:numPr>
              <w:tabs>
                <w:tab w:val="clear" w:pos="360"/>
                <w:tab w:val="left" w:pos="372"/>
              </w:tabs>
              <w:spacing w:after="0" w:line="240" w:lineRule="auto"/>
              <w:rPr>
                <w:rFonts w:ascii="Verdana" w:hAnsi="Verdana"/>
              </w:rPr>
            </w:pPr>
            <w:r w:rsidRPr="00E30B0A">
              <w:rPr>
                <w:rFonts w:ascii="Verdana" w:hAnsi="Verdana"/>
              </w:rPr>
              <w:t>Basic understanding of County Council processes and procedures.</w:t>
            </w:r>
          </w:p>
          <w:p w14:paraId="3737FD5E" w14:textId="77777777" w:rsidR="00E30B0A" w:rsidRPr="00E30B0A" w:rsidRDefault="00E30B0A" w:rsidP="00E30B0A">
            <w:pPr>
              <w:numPr>
                <w:ilvl w:val="0"/>
                <w:numId w:val="13"/>
              </w:numPr>
              <w:tabs>
                <w:tab w:val="clear" w:pos="360"/>
                <w:tab w:val="left" w:pos="372"/>
              </w:tabs>
              <w:spacing w:after="0" w:line="240" w:lineRule="auto"/>
              <w:rPr>
                <w:rFonts w:ascii="Verdana" w:hAnsi="Verdana"/>
              </w:rPr>
            </w:pPr>
            <w:r w:rsidRPr="00E30B0A">
              <w:rPr>
                <w:rFonts w:ascii="Verdana" w:hAnsi="Verdana"/>
              </w:rPr>
              <w:t>Ability to competently manage full case load of complexity.</w:t>
            </w:r>
          </w:p>
          <w:p w14:paraId="79FFC940" w14:textId="77777777" w:rsidR="00E30B0A" w:rsidRPr="00E30B0A" w:rsidRDefault="00E30B0A" w:rsidP="00E30B0A">
            <w:pPr>
              <w:numPr>
                <w:ilvl w:val="0"/>
                <w:numId w:val="13"/>
              </w:numPr>
              <w:spacing w:after="0" w:line="240" w:lineRule="auto"/>
              <w:rPr>
                <w:rFonts w:ascii="Verdana" w:hAnsi="Verdana"/>
              </w:rPr>
            </w:pPr>
            <w:r w:rsidRPr="00E30B0A">
              <w:rPr>
                <w:rFonts w:ascii="Verdana" w:hAnsi="Verdana"/>
              </w:rPr>
              <w:t xml:space="preserve">Ability to provide expertise to directly advise, guide or support operations. </w:t>
            </w:r>
          </w:p>
          <w:p w14:paraId="64D88EBD" w14:textId="77777777" w:rsidR="00E30B0A" w:rsidRPr="00E30B0A" w:rsidRDefault="00E30B0A" w:rsidP="00E30B0A">
            <w:pPr>
              <w:numPr>
                <w:ilvl w:val="0"/>
                <w:numId w:val="13"/>
              </w:numPr>
              <w:spacing w:after="0" w:line="240" w:lineRule="auto"/>
              <w:rPr>
                <w:rFonts w:ascii="Verdana" w:hAnsi="Verdana"/>
              </w:rPr>
            </w:pPr>
            <w:r w:rsidRPr="00E30B0A">
              <w:rPr>
                <w:rFonts w:ascii="Verdana" w:hAnsi="Verdana"/>
              </w:rPr>
              <w:t>Ability to contribute by supporting or influencing through others.</w:t>
            </w:r>
          </w:p>
          <w:p w14:paraId="62E8D77A" w14:textId="77777777" w:rsidR="00E30B0A" w:rsidRPr="00E30B0A" w:rsidRDefault="00E30B0A" w:rsidP="00E30B0A">
            <w:pPr>
              <w:numPr>
                <w:ilvl w:val="0"/>
                <w:numId w:val="14"/>
              </w:numPr>
              <w:spacing w:after="0" w:line="240" w:lineRule="auto"/>
              <w:rPr>
                <w:rFonts w:ascii="Verdana" w:hAnsi="Verdana"/>
              </w:rPr>
            </w:pPr>
            <w:r w:rsidRPr="00E30B0A">
              <w:rPr>
                <w:rFonts w:ascii="Verdana" w:hAnsi="Verdana"/>
              </w:rPr>
              <w:t xml:space="preserve">Must know and understand the theory and principles underpinning the relevant field or discipline. </w:t>
            </w:r>
          </w:p>
          <w:p w14:paraId="199F55F7" w14:textId="77777777" w:rsidR="00E30B0A" w:rsidRPr="00E30B0A" w:rsidRDefault="00E30B0A" w:rsidP="00E30B0A">
            <w:pPr>
              <w:numPr>
                <w:ilvl w:val="0"/>
                <w:numId w:val="14"/>
              </w:numPr>
              <w:spacing w:after="0" w:line="240" w:lineRule="auto"/>
              <w:rPr>
                <w:rFonts w:ascii="Verdana" w:hAnsi="Verdana"/>
              </w:rPr>
            </w:pPr>
            <w:r w:rsidRPr="00E30B0A">
              <w:rPr>
                <w:rFonts w:ascii="Verdana" w:hAnsi="Verdana"/>
              </w:rPr>
              <w:t>Ability to use professional knowledge, combined with an understanding of council policy, to advise upon or determine the appropriate course of action.</w:t>
            </w:r>
          </w:p>
          <w:p w14:paraId="10B194C3" w14:textId="77777777" w:rsidR="00E30B0A" w:rsidRPr="00E30B0A" w:rsidRDefault="00E30B0A" w:rsidP="00E30B0A">
            <w:pPr>
              <w:numPr>
                <w:ilvl w:val="0"/>
                <w:numId w:val="15"/>
              </w:numPr>
              <w:spacing w:after="0" w:line="240" w:lineRule="auto"/>
              <w:rPr>
                <w:rFonts w:ascii="Verdana" w:hAnsi="Verdana"/>
              </w:rPr>
            </w:pPr>
            <w:r w:rsidRPr="00E30B0A">
              <w:rPr>
                <w:rFonts w:ascii="Verdana" w:hAnsi="Verdana"/>
              </w:rPr>
              <w:t xml:space="preserve">Ability to work autonomously, planning and </w:t>
            </w:r>
            <w:proofErr w:type="spellStart"/>
            <w:r w:rsidRPr="00E30B0A">
              <w:rPr>
                <w:rFonts w:ascii="Verdana" w:hAnsi="Verdana"/>
              </w:rPr>
              <w:t>prioritising</w:t>
            </w:r>
            <w:proofErr w:type="spellEnd"/>
            <w:r w:rsidRPr="00E30B0A">
              <w:rPr>
                <w:rFonts w:ascii="Verdana" w:hAnsi="Verdana"/>
              </w:rPr>
              <w:t xml:space="preserve"> own workload, in order to achieve the goals, targets and responsibilities. </w:t>
            </w:r>
          </w:p>
          <w:p w14:paraId="07A4C0E1" w14:textId="77777777" w:rsidR="00E30B0A" w:rsidRPr="00E30B0A" w:rsidRDefault="00E30B0A" w:rsidP="00E30B0A">
            <w:pPr>
              <w:numPr>
                <w:ilvl w:val="0"/>
                <w:numId w:val="16"/>
              </w:numPr>
              <w:spacing w:after="0" w:line="240" w:lineRule="auto"/>
              <w:rPr>
                <w:rFonts w:ascii="Verdana" w:hAnsi="Verdana"/>
              </w:rPr>
            </w:pPr>
            <w:r w:rsidRPr="00E30B0A">
              <w:rPr>
                <w:rFonts w:ascii="Verdana" w:hAnsi="Verdana"/>
              </w:rPr>
              <w:t xml:space="preserve">Ability to provide analysis or explanations for others and translate complex technical or procedural understanding into appropriate language and/or information.  </w:t>
            </w:r>
          </w:p>
          <w:p w14:paraId="56882884" w14:textId="77777777" w:rsidR="00E30B0A" w:rsidRPr="00E30B0A" w:rsidRDefault="00E30B0A" w:rsidP="00E30B0A">
            <w:pPr>
              <w:numPr>
                <w:ilvl w:val="0"/>
                <w:numId w:val="16"/>
              </w:numPr>
              <w:spacing w:after="0" w:line="240" w:lineRule="auto"/>
              <w:rPr>
                <w:rFonts w:ascii="Verdana" w:hAnsi="Verdana"/>
              </w:rPr>
            </w:pPr>
            <w:r w:rsidRPr="00E30B0A">
              <w:rPr>
                <w:rFonts w:ascii="Verdana" w:hAnsi="Verdana"/>
              </w:rPr>
              <w:t>Ability to be persuasive, assertive and sensitivity to others views.</w:t>
            </w:r>
          </w:p>
          <w:p w14:paraId="4087334F" w14:textId="20760D19" w:rsidR="00E30B0A" w:rsidRDefault="00E30B0A" w:rsidP="00E30B0A">
            <w:pPr>
              <w:numPr>
                <w:ilvl w:val="0"/>
                <w:numId w:val="12"/>
              </w:numPr>
              <w:spacing w:after="0" w:line="240" w:lineRule="auto"/>
              <w:rPr>
                <w:rFonts w:ascii="Verdana" w:hAnsi="Verdana"/>
              </w:rPr>
            </w:pPr>
            <w:r w:rsidRPr="00E30B0A">
              <w:rPr>
                <w:rFonts w:ascii="Verdana" w:hAnsi="Verdana"/>
              </w:rPr>
              <w:t xml:space="preserve">Ability to think within substantially diversified, established procedures, standards and/or precedents. </w:t>
            </w:r>
          </w:p>
          <w:p w14:paraId="186B0F1C" w14:textId="4960A1B5" w:rsidR="00FA3E46" w:rsidRPr="000930A6" w:rsidRDefault="00E30B0A" w:rsidP="00E30B0A">
            <w:pPr>
              <w:numPr>
                <w:ilvl w:val="0"/>
                <w:numId w:val="12"/>
              </w:numPr>
              <w:spacing w:after="0" w:line="240" w:lineRule="auto"/>
              <w:rPr>
                <w:rFonts w:ascii="Arial" w:hAnsi="Arial" w:cs="Arial"/>
              </w:rPr>
            </w:pPr>
            <w:r w:rsidRPr="00E30B0A">
              <w:rPr>
                <w:rFonts w:ascii="Verdana" w:hAnsi="Verdana"/>
              </w:rPr>
              <w:t xml:space="preserve">Ability to </w:t>
            </w:r>
            <w:proofErr w:type="spellStart"/>
            <w:r w:rsidRPr="00E30B0A">
              <w:rPr>
                <w:rFonts w:ascii="Verdana" w:hAnsi="Verdana"/>
              </w:rPr>
              <w:t>analyse</w:t>
            </w:r>
            <w:proofErr w:type="spellEnd"/>
            <w:r w:rsidRPr="00E30B0A">
              <w:rPr>
                <w:rFonts w:ascii="Verdana" w:hAnsi="Verdana"/>
              </w:rPr>
              <w:t xml:space="preserve"> situations, determine problems and identify appropriate</w:t>
            </w:r>
          </w:p>
        </w:tc>
        <w:tc>
          <w:tcPr>
            <w:tcW w:w="1946" w:type="dxa"/>
          </w:tcPr>
          <w:p w14:paraId="0EB5AE74" w14:textId="64220807" w:rsidR="0041456C" w:rsidRPr="0041456C" w:rsidRDefault="0041456C" w:rsidP="11053D4C">
            <w:pPr>
              <w:rPr>
                <w:rFonts w:ascii="Gill Sans MT" w:eastAsia="Gill Sans MT" w:hAnsi="Gill Sans MT"/>
              </w:rPr>
            </w:pPr>
          </w:p>
          <w:p w14:paraId="73459890" w14:textId="072E90CF" w:rsidR="0041456C" w:rsidRPr="0041456C" w:rsidRDefault="00E30B0A" w:rsidP="000930A6">
            <w:pPr>
              <w:spacing w:line="240" w:lineRule="auto"/>
              <w:rPr>
                <w:rFonts w:ascii="Gill Sans MT" w:eastAsia="Gill Sans MT" w:hAnsi="Gill Sans MT"/>
              </w:rPr>
            </w:pPr>
            <w:r>
              <w:rPr>
                <w:rFonts w:ascii="Gill Sans MT" w:eastAsia="Gill Sans MT" w:hAnsi="Gill Sans MT"/>
              </w:rPr>
              <w:t>All by A/I</w:t>
            </w:r>
          </w:p>
        </w:tc>
      </w:tr>
      <w:tr w:rsidR="0041456C" w:rsidRPr="0041456C" w14:paraId="7FE7E04A" w14:textId="77777777" w:rsidTr="79EE954F">
        <w:trPr>
          <w:jc w:val="center"/>
        </w:trPr>
        <w:tc>
          <w:tcPr>
            <w:tcW w:w="1275" w:type="dxa"/>
          </w:tcPr>
          <w:p w14:paraId="61FDC749" w14:textId="3F7D2639" w:rsidR="0041456C" w:rsidRPr="0041456C" w:rsidRDefault="0041456C" w:rsidP="0041456C">
            <w:pPr>
              <w:jc w:val="center"/>
              <w:rPr>
                <w:rFonts w:ascii="Gill Sans MT" w:eastAsia="Gill Sans MT" w:hAnsi="Gill Sans MT"/>
                <w:b/>
              </w:rPr>
            </w:pPr>
          </w:p>
          <w:p w14:paraId="5FD33341" w14:textId="5F60EFC8" w:rsidR="0041456C" w:rsidRPr="0041456C" w:rsidRDefault="00FB11C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4DBA533" wp14:editId="195D4B54">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3A824E1C" w14:textId="15070096" w:rsidR="00FB11CC" w:rsidRPr="00FB11CC" w:rsidRDefault="00FB11CC" w:rsidP="00FB11CC">
            <w:pPr>
              <w:spacing w:after="0" w:line="240" w:lineRule="auto"/>
              <w:rPr>
                <w:rFonts w:ascii="Verdana" w:hAnsi="Verdana"/>
                <w:b/>
                <w:bCs/>
              </w:rPr>
            </w:pPr>
            <w:r w:rsidRPr="00FB11CC">
              <w:rPr>
                <w:rFonts w:ascii="Verdana" w:hAnsi="Verdana"/>
                <w:b/>
                <w:bCs/>
              </w:rPr>
              <w:t>Skills</w:t>
            </w:r>
          </w:p>
          <w:p w14:paraId="4D255741" w14:textId="081C2349" w:rsidR="00FB11CC" w:rsidRPr="00FB11CC" w:rsidRDefault="00FB11CC" w:rsidP="00FB11CC">
            <w:pPr>
              <w:numPr>
                <w:ilvl w:val="0"/>
                <w:numId w:val="12"/>
              </w:numPr>
              <w:spacing w:after="0" w:line="240" w:lineRule="auto"/>
              <w:rPr>
                <w:rFonts w:ascii="Verdana" w:hAnsi="Verdana"/>
              </w:rPr>
            </w:pPr>
            <w:r w:rsidRPr="00FB11CC">
              <w:rPr>
                <w:rFonts w:ascii="Verdana" w:hAnsi="Verdana"/>
              </w:rPr>
              <w:t>Ability to work under pressure.</w:t>
            </w:r>
          </w:p>
          <w:p w14:paraId="2C912DF5" w14:textId="77777777" w:rsidR="00FB11CC" w:rsidRPr="00FB11CC" w:rsidRDefault="00FB11CC" w:rsidP="00FB11CC">
            <w:pPr>
              <w:numPr>
                <w:ilvl w:val="0"/>
                <w:numId w:val="12"/>
              </w:numPr>
              <w:spacing w:after="0" w:line="240" w:lineRule="auto"/>
              <w:rPr>
                <w:rFonts w:ascii="Verdana" w:hAnsi="Verdana"/>
              </w:rPr>
            </w:pPr>
            <w:r w:rsidRPr="00FB11CC">
              <w:rPr>
                <w:rFonts w:ascii="Verdana" w:hAnsi="Verdana"/>
              </w:rPr>
              <w:t>Ability to work on own initiative.</w:t>
            </w:r>
          </w:p>
          <w:p w14:paraId="589CE592" w14:textId="77777777" w:rsidR="00FB11CC" w:rsidRPr="00FB11CC" w:rsidRDefault="00FB11CC" w:rsidP="00FB11CC">
            <w:pPr>
              <w:numPr>
                <w:ilvl w:val="0"/>
                <w:numId w:val="12"/>
              </w:numPr>
              <w:spacing w:after="0" w:line="240" w:lineRule="auto"/>
              <w:rPr>
                <w:rFonts w:ascii="Verdana" w:hAnsi="Verdana"/>
              </w:rPr>
            </w:pPr>
            <w:r w:rsidRPr="00FB11CC">
              <w:rPr>
                <w:rFonts w:ascii="Verdana" w:hAnsi="Verdana"/>
              </w:rPr>
              <w:t>Flexible, innovative and persuasive approach.</w:t>
            </w:r>
          </w:p>
          <w:p w14:paraId="0EFD44B0" w14:textId="2B1F9907" w:rsidR="0041456C" w:rsidRPr="0041456C" w:rsidRDefault="00FB11CC" w:rsidP="00FB11CC">
            <w:pPr>
              <w:numPr>
                <w:ilvl w:val="0"/>
                <w:numId w:val="12"/>
              </w:numPr>
              <w:spacing w:after="0" w:line="240" w:lineRule="auto"/>
              <w:rPr>
                <w:rFonts w:ascii="Arial" w:eastAsia="Arial" w:hAnsi="Arial" w:cs="Arial"/>
              </w:rPr>
            </w:pPr>
            <w:r w:rsidRPr="00FB11CC">
              <w:rPr>
                <w:rFonts w:ascii="Verdana" w:hAnsi="Verdana"/>
              </w:rPr>
              <w:t>Customer focused, with solutions driven approach.</w:t>
            </w:r>
          </w:p>
        </w:tc>
        <w:tc>
          <w:tcPr>
            <w:tcW w:w="1946" w:type="dxa"/>
          </w:tcPr>
          <w:p w14:paraId="41C6BA5A" w14:textId="672FE21A" w:rsidR="0041456C" w:rsidRPr="0041456C" w:rsidRDefault="00FB11CC" w:rsidP="000930A6">
            <w:pPr>
              <w:rPr>
                <w:rFonts w:ascii="Gill Sans MT" w:eastAsia="Gill Sans MT" w:hAnsi="Gill Sans MT"/>
              </w:rPr>
            </w:pPr>
            <w:r>
              <w:rPr>
                <w:rFonts w:ascii="Gill Sans MT" w:eastAsia="Gill Sans MT" w:hAnsi="Gill Sans MT"/>
              </w:rPr>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8E82" w14:textId="77777777" w:rsidR="00131E71" w:rsidRDefault="00131E71" w:rsidP="003E7AA3">
      <w:pPr>
        <w:spacing w:after="0" w:line="240" w:lineRule="auto"/>
      </w:pPr>
      <w:r>
        <w:separator/>
      </w:r>
    </w:p>
  </w:endnote>
  <w:endnote w:type="continuationSeparator" w:id="0">
    <w:p w14:paraId="23FED16E" w14:textId="77777777" w:rsidR="00131E71" w:rsidRDefault="00131E71" w:rsidP="003E7AA3">
      <w:pPr>
        <w:spacing w:after="0" w:line="240" w:lineRule="auto"/>
      </w:pPr>
      <w:r>
        <w:continuationSeparator/>
      </w:r>
    </w:p>
  </w:endnote>
  <w:endnote w:type="continuationNotice" w:id="1">
    <w:p w14:paraId="1D753653" w14:textId="77777777" w:rsidR="00131E71" w:rsidRDefault="00131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74DD" w14:textId="77777777" w:rsidR="00131E71" w:rsidRDefault="00131E71" w:rsidP="003E7AA3">
      <w:pPr>
        <w:spacing w:after="0" w:line="240" w:lineRule="auto"/>
      </w:pPr>
      <w:r>
        <w:separator/>
      </w:r>
    </w:p>
  </w:footnote>
  <w:footnote w:type="continuationSeparator" w:id="0">
    <w:p w14:paraId="1614AA18" w14:textId="77777777" w:rsidR="00131E71" w:rsidRDefault="00131E71" w:rsidP="003E7AA3">
      <w:pPr>
        <w:spacing w:after="0" w:line="240" w:lineRule="auto"/>
      </w:pPr>
      <w:r>
        <w:continuationSeparator/>
      </w:r>
    </w:p>
  </w:footnote>
  <w:footnote w:type="continuationNotice" w:id="1">
    <w:p w14:paraId="47E6D2A4" w14:textId="77777777" w:rsidR="00131E71" w:rsidRDefault="00131E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26A6"/>
    <w:multiLevelType w:val="hybridMultilevel"/>
    <w:tmpl w:val="E4400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83050"/>
    <w:multiLevelType w:val="hybridMultilevel"/>
    <w:tmpl w:val="F6E8C83C"/>
    <w:lvl w:ilvl="0" w:tplc="57549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C34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4"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5"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8" w15:restartNumberingAfterBreak="0">
    <w:nsid w:val="31C16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9595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11" w15:restartNumberingAfterBreak="0">
    <w:nsid w:val="46334F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53A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A7026E"/>
    <w:multiLevelType w:val="hybridMultilevel"/>
    <w:tmpl w:val="E5F69730"/>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73670828">
    <w:abstractNumId w:val="3"/>
  </w:num>
  <w:num w:numId="2" w16cid:durableId="1645158399">
    <w:abstractNumId w:val="7"/>
  </w:num>
  <w:num w:numId="3" w16cid:durableId="1755127746">
    <w:abstractNumId w:val="10"/>
  </w:num>
  <w:num w:numId="4" w16cid:durableId="1344475097">
    <w:abstractNumId w:val="4"/>
  </w:num>
  <w:num w:numId="5" w16cid:durableId="1139416454">
    <w:abstractNumId w:val="5"/>
  </w:num>
  <w:num w:numId="6" w16cid:durableId="21323084">
    <w:abstractNumId w:val="12"/>
  </w:num>
  <w:num w:numId="7" w16cid:durableId="1315137153">
    <w:abstractNumId w:val="15"/>
  </w:num>
  <w:num w:numId="8" w16cid:durableId="1468281517">
    <w:abstractNumId w:val="6"/>
  </w:num>
  <w:num w:numId="9" w16cid:durableId="1384594314">
    <w:abstractNumId w:val="14"/>
  </w:num>
  <w:num w:numId="10" w16cid:durableId="1525513185">
    <w:abstractNumId w:val="16"/>
  </w:num>
  <w:num w:numId="11" w16cid:durableId="460193951">
    <w:abstractNumId w:val="0"/>
  </w:num>
  <w:num w:numId="12" w16cid:durableId="1792628982">
    <w:abstractNumId w:val="11"/>
  </w:num>
  <w:num w:numId="13" w16cid:durableId="610480397">
    <w:abstractNumId w:val="13"/>
  </w:num>
  <w:num w:numId="14" w16cid:durableId="1081676249">
    <w:abstractNumId w:val="8"/>
  </w:num>
  <w:num w:numId="15" w16cid:durableId="735708129">
    <w:abstractNumId w:val="9"/>
  </w:num>
  <w:num w:numId="16" w16cid:durableId="179322830">
    <w:abstractNumId w:val="2"/>
  </w:num>
  <w:num w:numId="17" w16cid:durableId="1099175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930A6"/>
    <w:rsid w:val="000A6B3A"/>
    <w:rsid w:val="00131E71"/>
    <w:rsid w:val="00141D89"/>
    <w:rsid w:val="001667C8"/>
    <w:rsid w:val="001A15EA"/>
    <w:rsid w:val="001F3113"/>
    <w:rsid w:val="00205A57"/>
    <w:rsid w:val="00231B51"/>
    <w:rsid w:val="00261654"/>
    <w:rsid w:val="00265281"/>
    <w:rsid w:val="002D413B"/>
    <w:rsid w:val="00316CA7"/>
    <w:rsid w:val="003E7AA3"/>
    <w:rsid w:val="003F50AB"/>
    <w:rsid w:val="0041456C"/>
    <w:rsid w:val="00465664"/>
    <w:rsid w:val="004F3AA7"/>
    <w:rsid w:val="00535B0F"/>
    <w:rsid w:val="005A5B11"/>
    <w:rsid w:val="00671CC9"/>
    <w:rsid w:val="00770B6C"/>
    <w:rsid w:val="00797BFE"/>
    <w:rsid w:val="007A6708"/>
    <w:rsid w:val="0080309F"/>
    <w:rsid w:val="00816AA1"/>
    <w:rsid w:val="00872B70"/>
    <w:rsid w:val="009446C3"/>
    <w:rsid w:val="0096580A"/>
    <w:rsid w:val="00977EA1"/>
    <w:rsid w:val="0099470D"/>
    <w:rsid w:val="00A34FE9"/>
    <w:rsid w:val="00A645DA"/>
    <w:rsid w:val="00AD6686"/>
    <w:rsid w:val="00B9509B"/>
    <w:rsid w:val="00BB233B"/>
    <w:rsid w:val="00C20BE9"/>
    <w:rsid w:val="00C86E78"/>
    <w:rsid w:val="00CD038B"/>
    <w:rsid w:val="00CF33CD"/>
    <w:rsid w:val="00DC654B"/>
    <w:rsid w:val="00DF0A92"/>
    <w:rsid w:val="00E076BC"/>
    <w:rsid w:val="00E30B0A"/>
    <w:rsid w:val="00E87760"/>
    <w:rsid w:val="00EC0C4E"/>
    <w:rsid w:val="00EE50CC"/>
    <w:rsid w:val="00F72F3D"/>
    <w:rsid w:val="00FA3E46"/>
    <w:rsid w:val="00FB11CC"/>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Olshevska, Valeria (Corporate)</cp:lastModifiedBy>
  <cp:revision>7</cp:revision>
  <dcterms:created xsi:type="dcterms:W3CDTF">2022-04-29T13:47:00Z</dcterms:created>
  <dcterms:modified xsi:type="dcterms:W3CDTF">2022-05-20T08:53:00Z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