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E1B4" w14:textId="77777777" w:rsidR="00C402B0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B0">
        <w:t>Financial Information Officer</w:t>
      </w:r>
    </w:p>
    <w:p w14:paraId="4F20251A" w14:textId="729A45F7" w:rsidR="00161FE8" w:rsidRPr="001F3113" w:rsidRDefault="00161FE8" w:rsidP="001F3113">
      <w:pPr>
        <w:pStyle w:val="JobTitle"/>
      </w:pPr>
      <w:r>
        <w:t>Grade</w:t>
      </w:r>
      <w:r w:rsidR="00C402B0">
        <w:t xml:space="preserve"> 6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ambitious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has the opportunity to prosper, be healthy and happy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="223EC753" w:rsidRPr="45275101">
        <w:rPr>
          <w:rFonts w:eastAsiaTheme="minorEastAsia"/>
          <w:color w:val="000000" w:themeColor="text1"/>
          <w:lang w:val="en-US"/>
        </w:rPr>
        <w:t>flourish</w:t>
      </w:r>
      <w:proofErr w:type="gramEnd"/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0946379" w14:textId="7F84B4F6" w:rsidR="008D16A3" w:rsidRDefault="00816AA1" w:rsidP="008D16A3">
      <w:pPr>
        <w:pStyle w:val="Body-Bold"/>
      </w:pPr>
      <w:r>
        <w:t>About the Service</w:t>
      </w:r>
    </w:p>
    <w:p w14:paraId="42CE1C44" w14:textId="77777777" w:rsidR="00403CDD" w:rsidRPr="00403CDD" w:rsidRDefault="00403CDD" w:rsidP="00403CDD">
      <w:pPr>
        <w:jc w:val="both"/>
        <w:rPr>
          <w:rFonts w:ascii="Verdana" w:hAnsi="Verdana"/>
          <w:sz w:val="28"/>
          <w:lang w:eastAsia="en-GB"/>
        </w:rPr>
      </w:pPr>
      <w:r w:rsidRPr="00403CDD">
        <w:rPr>
          <w:rFonts w:ascii="Verdana" w:hAnsi="Verdana"/>
          <w:b/>
          <w:sz w:val="24"/>
          <w:lang w:eastAsia="en-GB"/>
        </w:rPr>
        <w:t>The Accountancy Division</w:t>
      </w:r>
      <w:r w:rsidRPr="00403CDD">
        <w:rPr>
          <w:rFonts w:ascii="Verdana" w:hAnsi="Verdana"/>
          <w:sz w:val="24"/>
          <w:lang w:eastAsia="en-GB"/>
        </w:rPr>
        <w:t>: provides a range of services to the county council with the aim of providing strategic financial advice, securing stewardship, supporting effective decision making and enabling effective financial management</w:t>
      </w:r>
    </w:p>
    <w:p w14:paraId="211F337C" w14:textId="62061273" w:rsidR="008D16A3" w:rsidRPr="00F66F85" w:rsidRDefault="00403CDD" w:rsidP="00403CDD">
      <w:pPr>
        <w:pStyle w:val="Body-Bold"/>
        <w:rPr>
          <w:b w:val="0"/>
          <w:bCs w:val="0"/>
        </w:rPr>
      </w:pPr>
      <w:r w:rsidRPr="00403CDD">
        <w:rPr>
          <w:rFonts w:eastAsia="Gill Sans MT"/>
          <w:b w:val="0"/>
          <w:color w:val="auto"/>
          <w:szCs w:val="28"/>
        </w:rPr>
        <w:lastRenderedPageBreak/>
        <w:t xml:space="preserve">The Accounting (financial information) </w:t>
      </w:r>
      <w:proofErr w:type="gramStart"/>
      <w:r w:rsidRPr="00403CDD">
        <w:rPr>
          <w:rFonts w:eastAsia="Gill Sans MT"/>
          <w:b w:val="0"/>
          <w:color w:val="auto"/>
          <w:szCs w:val="28"/>
        </w:rPr>
        <w:t>Service:</w:t>
      </w:r>
      <w:proofErr w:type="gramEnd"/>
      <w:r w:rsidRPr="00403CDD">
        <w:rPr>
          <w:rFonts w:eastAsia="Gill Sans MT"/>
          <w:color w:val="auto"/>
          <w:szCs w:val="28"/>
        </w:rPr>
        <w:t xml:space="preserve"> </w:t>
      </w:r>
      <w:r w:rsidRPr="00F66F85">
        <w:rPr>
          <w:rFonts w:eastAsia="Gill Sans MT"/>
          <w:b w:val="0"/>
          <w:bCs w:val="0"/>
          <w:color w:val="auto"/>
          <w:szCs w:val="28"/>
        </w:rPr>
        <w:t>is responsible to enable insight and stewardship through provision of complete and reliable financial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710229ED" w:rsidR="00816AA1" w:rsidRDefault="00816AA1" w:rsidP="2B77B527">
      <w:pPr>
        <w:pStyle w:val="Body-Bold"/>
      </w:pPr>
      <w:r>
        <w:t xml:space="preserve">Responsible to: </w:t>
      </w:r>
      <w:r w:rsidR="00BE012C">
        <w:t>Accountant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17936D21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Assist in maintaining financial system processes, coding hierarchies and control arrangements to provide accurate budget records.</w:t>
      </w:r>
    </w:p>
    <w:p w14:paraId="0DCE4A02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Monitor the integrity of budget records to ensure accurate reporting of spending to Corporate Finance and Decision Making Support Business Partners.</w:t>
      </w:r>
    </w:p>
    <w:p w14:paraId="3DF9D8FD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Produce regular budget reports for Decision Making Support Finance Business Partners to monitor spending with services.</w:t>
      </w:r>
    </w:p>
    <w:p w14:paraId="35062678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Prepare budget estimates (using simple tools, </w:t>
      </w:r>
      <w:proofErr w:type="gramStart"/>
      <w:r w:rsidRPr="00780B85">
        <w:rPr>
          <w:rFonts w:ascii="Verdana" w:eastAsia="Gill Sans MT" w:hAnsi="Verdana" w:cs="Arial"/>
          <w:sz w:val="24"/>
        </w:rPr>
        <w:t>e.g.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salary modeler) to support Corporate Finance and Decision Making Support Partners in agreeing future allocations; budget monitoring and closure of accounts.</w:t>
      </w:r>
    </w:p>
    <w:p w14:paraId="47FEAB26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Provide end of year reports and creditor schedules to enable corporate Finance and Decision Making Support Finance Business Partners to complete closure of accounts.</w:t>
      </w:r>
    </w:p>
    <w:p w14:paraId="0FF8BDAE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transactions in the authority’s financial system.</w:t>
      </w:r>
    </w:p>
    <w:p w14:paraId="54916CC3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Liaise with Decision Making Support and Corporate Finance to resolve simple queries in relation to financial matters.</w:t>
      </w:r>
    </w:p>
    <w:p w14:paraId="6A0669A7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Record capital acquisitions, </w:t>
      </w:r>
      <w:proofErr w:type="gramStart"/>
      <w:r w:rsidRPr="00780B85">
        <w:rPr>
          <w:rFonts w:ascii="Verdana" w:eastAsia="Gill Sans MT" w:hAnsi="Verdana" w:cs="Arial"/>
          <w:sz w:val="24"/>
        </w:rPr>
        <w:t>disposals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and depreciation; process overhead allocations and internal recharges to ensure accurate accounts.</w:t>
      </w:r>
    </w:p>
    <w:p w14:paraId="13100C54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accruals, prepayments, advances, transfers to/from reserves and provisions etc.</w:t>
      </w:r>
    </w:p>
    <w:p w14:paraId="69B5B221" w14:textId="71716043" w:rsidR="00780B85" w:rsidRPr="001149F0" w:rsidRDefault="001149F0" w:rsidP="001149F0">
      <w:pPr>
        <w:ind w:left="360"/>
        <w:jc w:val="both"/>
        <w:rPr>
          <w:rFonts w:ascii="Verdana" w:eastAsia="Gill Sans MT" w:hAnsi="Verdana" w:cs="Arial"/>
          <w:sz w:val="24"/>
        </w:rPr>
      </w:pPr>
      <w:r>
        <w:rPr>
          <w:rFonts w:ascii="Verdana" w:eastAsia="Gill Sans MT" w:hAnsi="Verdana" w:cs="Arial"/>
          <w:sz w:val="24"/>
        </w:rPr>
        <w:t>10.</w:t>
      </w:r>
      <w:r w:rsidR="00780B85" w:rsidRPr="001149F0">
        <w:rPr>
          <w:rFonts w:ascii="Verdana" w:eastAsia="Gill Sans MT" w:hAnsi="Verdana" w:cs="Arial"/>
          <w:sz w:val="24"/>
        </w:rPr>
        <w:t>Undertake other duties appropriate to this role as directed.</w:t>
      </w:r>
    </w:p>
    <w:p w14:paraId="7A7F7DFE" w14:textId="77777777" w:rsidR="00780B85" w:rsidRDefault="00780B85" w:rsidP="00780B85">
      <w:pPr>
        <w:jc w:val="both"/>
        <w:rPr>
          <w:rFonts w:ascii="Gill Sans MT" w:eastAsia="Gill Sans MT" w:hAnsi="Gill Sans MT" w:cs="Arial"/>
          <w:b/>
          <w:u w:val="single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C2FFAB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27B2917B" w:rsidR="00C37951" w:rsidRPr="002E333E" w:rsidRDefault="00C37951" w:rsidP="002E333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2E333E">
              <w:rPr>
                <w:rFonts w:ascii="Verdana" w:eastAsia="Gill Sans MT" w:hAnsi="Verdana"/>
                <w:sz w:val="24"/>
              </w:rPr>
              <w:t>AAT Member or relevant experience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556F2798" w:rsidR="0041456C" w:rsidRPr="002E333E" w:rsidRDefault="002E333E" w:rsidP="0041456C">
            <w:pPr>
              <w:rPr>
                <w:rFonts w:ascii="Verdana" w:eastAsia="Gill Sans MT" w:hAnsi="Verdana"/>
              </w:rPr>
            </w:pPr>
            <w:r w:rsidRPr="002E333E">
              <w:rPr>
                <w:rFonts w:ascii="Verdana" w:eastAsia="Gill Sans MT" w:hAnsi="Verdana"/>
              </w:rPr>
              <w:t>A/I/T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24528C99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731530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0DE89BA2" w14:textId="77777777" w:rsidR="00731530" w:rsidRPr="00731530" w:rsidRDefault="00731530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142C6BEB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Two </w:t>
            </w:r>
            <w:proofErr w:type="spellStart"/>
            <w:r w:rsidRPr="00731530">
              <w:rPr>
                <w:rFonts w:ascii="Verdana" w:eastAsia="Gill Sans MT" w:hAnsi="Verdana"/>
              </w:rPr>
              <w:t>years experience</w:t>
            </w:r>
            <w:proofErr w:type="spellEnd"/>
            <w:r w:rsidRPr="00731530">
              <w:rPr>
                <w:rFonts w:ascii="Verdana" w:eastAsia="Gill Sans MT" w:hAnsi="Verdana"/>
              </w:rPr>
              <w:t xml:space="preserve"> working in a financial services environment.</w:t>
            </w:r>
          </w:p>
          <w:p w14:paraId="0734C85A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Sound knowledge of relevant financial systems. </w:t>
            </w:r>
          </w:p>
          <w:p w14:paraId="0EF6DE18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>Experience of processing transactions in the authority’s financial system (or similar).</w:t>
            </w:r>
          </w:p>
          <w:p w14:paraId="2FB2F771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Experience of producing accurate financial statements and other financial information.  </w:t>
            </w:r>
          </w:p>
          <w:p w14:paraId="7FCB70C8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Understanding of financial system processes, coding hierarchies and control arrangements. </w:t>
            </w:r>
          </w:p>
          <w:p w14:paraId="3AB2947B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Understanding of the concepts of asset depreciation, </w:t>
            </w:r>
            <w:proofErr w:type="gramStart"/>
            <w:r w:rsidRPr="00731530">
              <w:rPr>
                <w:rFonts w:ascii="Verdana" w:eastAsia="Gill Sans MT" w:hAnsi="Verdana"/>
              </w:rPr>
              <w:t>overheads</w:t>
            </w:r>
            <w:proofErr w:type="gramEnd"/>
            <w:r w:rsidRPr="00731530">
              <w:rPr>
                <w:rFonts w:ascii="Verdana" w:eastAsia="Gill Sans MT" w:hAnsi="Verdana"/>
              </w:rPr>
              <w:t xml:space="preserve"> and internal recharges.</w:t>
            </w:r>
          </w:p>
          <w:p w14:paraId="186B0F1C" w14:textId="77777777" w:rsidR="0041456C" w:rsidRPr="00731530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3F1C940B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72AAF7F" w14:textId="34C7C4AC" w:rsidR="00731530" w:rsidRPr="00E61D7B" w:rsidRDefault="00E61D7B" w:rsidP="0041456C">
            <w:pPr>
              <w:rPr>
                <w:rFonts w:ascii="Verdana" w:eastAsia="Gill Sans MT" w:hAnsi="Verdana"/>
              </w:rPr>
            </w:pPr>
            <w:r w:rsidRPr="00E61D7B">
              <w:rPr>
                <w:rFonts w:ascii="Verdana" w:eastAsia="Gill Sans MT" w:hAnsi="Verdana"/>
              </w:rPr>
              <w:t>A/I/T</w:t>
            </w:r>
          </w:p>
          <w:p w14:paraId="73459890" w14:textId="4668379F" w:rsidR="00731530" w:rsidRPr="0041456C" w:rsidRDefault="00731530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4BE224A7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numeracy and literacy skills.</w:t>
            </w:r>
          </w:p>
          <w:p w14:paraId="3DA4EE5D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keyboard skills.</w:t>
            </w:r>
          </w:p>
          <w:p w14:paraId="7B593B80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 xml:space="preserve">Demonstrate ability to retrieve and manipulate financial information </w:t>
            </w:r>
            <w:proofErr w:type="gramStart"/>
            <w:r w:rsidRPr="00674132">
              <w:rPr>
                <w:rFonts w:ascii="Verdana" w:eastAsia="Gill Sans MT" w:hAnsi="Verdana"/>
              </w:rPr>
              <w:t>for the production of</w:t>
            </w:r>
            <w:proofErr w:type="gramEnd"/>
            <w:r w:rsidRPr="00674132">
              <w:rPr>
                <w:rFonts w:ascii="Verdana" w:eastAsia="Gill Sans MT" w:hAnsi="Verdana"/>
              </w:rPr>
              <w:t xml:space="preserve"> statistics and reports.</w:t>
            </w:r>
          </w:p>
          <w:p w14:paraId="294C95E9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Demonstrate effective use of spreadsheets and word processing skills.</w:t>
            </w:r>
          </w:p>
          <w:p w14:paraId="7A1FE196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lastRenderedPageBreak/>
              <w:t>Able to communicate effectively with colleagues across disciplines.</w:t>
            </w:r>
          </w:p>
          <w:p w14:paraId="341E1E72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Able to work flexibly and creatively to meet changing priorities.</w:t>
            </w:r>
          </w:p>
          <w:p w14:paraId="0282C513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Personal commitment to the development of high standards of service.</w:t>
            </w:r>
          </w:p>
          <w:p w14:paraId="0EFD44B0" w14:textId="63F187C6" w:rsidR="00674132" w:rsidRPr="0041456C" w:rsidRDefault="00674132" w:rsidP="0020240C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33C99085" w:rsidR="0041456C" w:rsidRPr="001A270E" w:rsidRDefault="0041456C" w:rsidP="0041456C">
            <w:pPr>
              <w:rPr>
                <w:rFonts w:ascii="Verdana" w:eastAsia="Gill Sans MT" w:hAnsi="Verdana"/>
              </w:rPr>
            </w:pPr>
          </w:p>
          <w:p w14:paraId="56BA0592" w14:textId="4180E13E" w:rsidR="001A270E" w:rsidRPr="001A270E" w:rsidRDefault="001A270E" w:rsidP="0041456C">
            <w:pPr>
              <w:rPr>
                <w:rFonts w:ascii="Verdana" w:eastAsia="Gill Sans MT" w:hAnsi="Verdana"/>
              </w:rPr>
            </w:pPr>
            <w:r w:rsidRPr="001A270E">
              <w:rPr>
                <w:rFonts w:ascii="Verdana" w:eastAsia="Gill Sans MT" w:hAnsi="Verdana"/>
              </w:rPr>
              <w:t>A/I/T</w:t>
            </w:r>
          </w:p>
          <w:p w14:paraId="41C6BA5A" w14:textId="77777777" w:rsidR="0041456C" w:rsidRPr="001A270E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4A10" w14:textId="77777777" w:rsidR="009575B0" w:rsidRDefault="009575B0" w:rsidP="003E7AA3">
      <w:pPr>
        <w:spacing w:after="0" w:line="240" w:lineRule="auto"/>
      </w:pPr>
      <w:r>
        <w:separator/>
      </w:r>
    </w:p>
  </w:endnote>
  <w:endnote w:type="continuationSeparator" w:id="0">
    <w:p w14:paraId="21096DC5" w14:textId="77777777" w:rsidR="009575B0" w:rsidRDefault="009575B0" w:rsidP="003E7AA3">
      <w:pPr>
        <w:spacing w:after="0" w:line="240" w:lineRule="auto"/>
      </w:pPr>
      <w:r>
        <w:continuationSeparator/>
      </w:r>
    </w:p>
  </w:endnote>
  <w:endnote w:type="continuationNotice" w:id="1">
    <w:p w14:paraId="776739E8" w14:textId="77777777" w:rsidR="009575B0" w:rsidRDefault="00957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A236" w14:textId="77777777" w:rsidR="009575B0" w:rsidRDefault="009575B0" w:rsidP="003E7AA3">
      <w:pPr>
        <w:spacing w:after="0" w:line="240" w:lineRule="auto"/>
      </w:pPr>
      <w:r>
        <w:separator/>
      </w:r>
    </w:p>
  </w:footnote>
  <w:footnote w:type="continuationSeparator" w:id="0">
    <w:p w14:paraId="7A49B9C3" w14:textId="77777777" w:rsidR="009575B0" w:rsidRDefault="009575B0" w:rsidP="003E7AA3">
      <w:pPr>
        <w:spacing w:after="0" w:line="240" w:lineRule="auto"/>
      </w:pPr>
      <w:r>
        <w:continuationSeparator/>
      </w:r>
    </w:p>
  </w:footnote>
  <w:footnote w:type="continuationNotice" w:id="1">
    <w:p w14:paraId="36AE699B" w14:textId="77777777" w:rsidR="009575B0" w:rsidRDefault="00957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33ABAFC"/>
    <w:lvl w:ilvl="0" w:tplc="EF2E5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7E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A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E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F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F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4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4CD6"/>
    <w:multiLevelType w:val="hybridMultilevel"/>
    <w:tmpl w:val="E1D41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6023"/>
    <w:multiLevelType w:val="hybridMultilevel"/>
    <w:tmpl w:val="CB58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3023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3"/>
  </w:num>
  <w:num w:numId="7" w16cid:durableId="1903982057">
    <w:abstractNumId w:val="10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915360292">
    <w:abstractNumId w:val="9"/>
  </w:num>
  <w:num w:numId="17" w16cid:durableId="136143821">
    <w:abstractNumId w:val="14"/>
  </w:num>
  <w:num w:numId="18" w16cid:durableId="106425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B2785"/>
    <w:rsid w:val="000E74D1"/>
    <w:rsid w:val="000F5850"/>
    <w:rsid w:val="001149F0"/>
    <w:rsid w:val="00141D89"/>
    <w:rsid w:val="00161FE8"/>
    <w:rsid w:val="001661A9"/>
    <w:rsid w:val="001667C8"/>
    <w:rsid w:val="001A15EA"/>
    <w:rsid w:val="001A270E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E333E"/>
    <w:rsid w:val="002F6DE8"/>
    <w:rsid w:val="00316CA7"/>
    <w:rsid w:val="00366F6C"/>
    <w:rsid w:val="003739AB"/>
    <w:rsid w:val="003E7AA3"/>
    <w:rsid w:val="003F50AB"/>
    <w:rsid w:val="00403CDD"/>
    <w:rsid w:val="0041456C"/>
    <w:rsid w:val="00447DF9"/>
    <w:rsid w:val="00465664"/>
    <w:rsid w:val="004C58E3"/>
    <w:rsid w:val="004E2C1E"/>
    <w:rsid w:val="00535B0F"/>
    <w:rsid w:val="00577B86"/>
    <w:rsid w:val="00636F40"/>
    <w:rsid w:val="00671CC9"/>
    <w:rsid w:val="00674132"/>
    <w:rsid w:val="0070227B"/>
    <w:rsid w:val="00731530"/>
    <w:rsid w:val="00770B6C"/>
    <w:rsid w:val="00780B85"/>
    <w:rsid w:val="00792EE5"/>
    <w:rsid w:val="00797BFE"/>
    <w:rsid w:val="007A6708"/>
    <w:rsid w:val="007D7B8C"/>
    <w:rsid w:val="0080309F"/>
    <w:rsid w:val="00816AA1"/>
    <w:rsid w:val="00841A14"/>
    <w:rsid w:val="00857526"/>
    <w:rsid w:val="00872B70"/>
    <w:rsid w:val="00897614"/>
    <w:rsid w:val="008B4F3B"/>
    <w:rsid w:val="008D16A3"/>
    <w:rsid w:val="008E17A6"/>
    <w:rsid w:val="008F6AB8"/>
    <w:rsid w:val="0091238F"/>
    <w:rsid w:val="009446C3"/>
    <w:rsid w:val="009575B0"/>
    <w:rsid w:val="0096580A"/>
    <w:rsid w:val="0097248E"/>
    <w:rsid w:val="00977EA1"/>
    <w:rsid w:val="0098215C"/>
    <w:rsid w:val="0099470D"/>
    <w:rsid w:val="009D51A0"/>
    <w:rsid w:val="00A34FE9"/>
    <w:rsid w:val="00A645DA"/>
    <w:rsid w:val="00A761DD"/>
    <w:rsid w:val="00AD6686"/>
    <w:rsid w:val="00B9509B"/>
    <w:rsid w:val="00BB233B"/>
    <w:rsid w:val="00BE012C"/>
    <w:rsid w:val="00C003AD"/>
    <w:rsid w:val="00C055B5"/>
    <w:rsid w:val="00C20BE9"/>
    <w:rsid w:val="00C302E9"/>
    <w:rsid w:val="00C37951"/>
    <w:rsid w:val="00C402B0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61D7B"/>
    <w:rsid w:val="00EC0C4E"/>
    <w:rsid w:val="00EE50CC"/>
    <w:rsid w:val="00F66F85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McKeon, Chloe (C&amp;F)</cp:lastModifiedBy>
  <cp:revision>20</cp:revision>
  <dcterms:created xsi:type="dcterms:W3CDTF">2022-11-23T12:27:00Z</dcterms:created>
  <dcterms:modified xsi:type="dcterms:W3CDTF">2022-11-28T16:45:00Z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