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F8EE" w14:textId="59ACA5B3" w:rsidR="4EBB72A9" w:rsidRDefault="001F3113" w:rsidP="4EBB72A9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03F">
        <w:t>External Reporting Officer</w:t>
      </w:r>
    </w:p>
    <w:p w14:paraId="4F20251A" w14:textId="4AB8CC8E" w:rsidR="00161FE8" w:rsidRPr="001F3113" w:rsidRDefault="00161FE8" w:rsidP="001F3113">
      <w:pPr>
        <w:pStyle w:val="JobTitle"/>
      </w:pPr>
      <w:r>
        <w:t>Grade</w:t>
      </w:r>
      <w:r w:rsidR="00843533">
        <w:t xml:space="preserve"> </w:t>
      </w:r>
      <w:r w:rsidR="00B6703F">
        <w:t>8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0CD5DDD9" w14:textId="7B901CBC" w:rsidR="1777271E" w:rsidRDefault="1777271E" w:rsidP="18B353DE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2BDB0C57" w14:textId="77777777" w:rsidR="00A433A7" w:rsidRDefault="00A433A7" w:rsidP="00A433A7">
      <w:pPr>
        <w:pStyle w:val="Body-text"/>
      </w:pPr>
      <w:r>
        <w:t xml:space="preserve">The Finance Directorate provides </w:t>
      </w:r>
      <w:r w:rsidRPr="00400FAB">
        <w:t>a range of services to the county council with the aim of providing strategic financial advice, securing stewardship, supporting effective decision making and enabling effective financial management</w:t>
      </w:r>
      <w:r w:rsidRPr="00816AA1">
        <w:t>.</w:t>
      </w:r>
    </w:p>
    <w:p w14:paraId="1D74F45E" w14:textId="4EBBA10B" w:rsidR="0020240C" w:rsidRDefault="00A433A7" w:rsidP="00D01CE1">
      <w:pPr>
        <w:pStyle w:val="Body-text"/>
        <w:rPr>
          <w:b/>
          <w:bCs/>
          <w:color w:val="000000" w:themeColor="text1"/>
        </w:rPr>
      </w:pPr>
      <w:r>
        <w:lastRenderedPageBreak/>
        <w:t xml:space="preserve">The Corporate Finance Service </w:t>
      </w:r>
      <w:r w:rsidRPr="00B81EDB">
        <w:t>is responsible for ensuring that the organisation is safe and financially viable; and that resources are used appropriately</w:t>
      </w:r>
      <w:r w:rsidR="00812547">
        <w:t>.</w:t>
      </w:r>
    </w:p>
    <w:p w14:paraId="08A50636" w14:textId="77777777" w:rsidR="00FE57BD" w:rsidRPr="00F44FD8" w:rsidRDefault="00FE57BD" w:rsidP="00D01CE1">
      <w:pPr>
        <w:pStyle w:val="Body-text"/>
        <w:rPr>
          <w:b/>
          <w:bCs/>
          <w:color w:val="000000" w:themeColor="text1"/>
        </w:rPr>
      </w:pP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6C6032D" w14:textId="38A4F585" w:rsidR="0041456C" w:rsidRDefault="00816AA1" w:rsidP="001F3113">
      <w:pPr>
        <w:pStyle w:val="Body-Bold"/>
      </w:pPr>
      <w:r>
        <w:t xml:space="preserve">Responsible to: </w:t>
      </w:r>
      <w:r w:rsidR="00B6703F">
        <w:t>External Reporting Manager</w:t>
      </w:r>
    </w:p>
    <w:p w14:paraId="4A748012" w14:textId="6BE11B34" w:rsidR="0C09183C" w:rsidRDefault="0C09183C" w:rsidP="0C09183C">
      <w:pPr>
        <w:pStyle w:val="Body-Bold"/>
        <w:spacing w:line="240" w:lineRule="auto"/>
      </w:pP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27FEF20C" w14:textId="3419970E" w:rsidR="00795818" w:rsidRPr="008401D2" w:rsidRDefault="00795818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t xml:space="preserve">Responsible for gathering and recording evidence of outcomes for grant claims to ensure that appropriate income is available to meet corporate outcomes </w:t>
      </w:r>
    </w:p>
    <w:p w14:paraId="1E3F3870" w14:textId="79E982DF" w:rsidR="00795818" w:rsidRPr="008401D2" w:rsidRDefault="007F6240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t>Responsible for production of financial statements and other financial information to support grant claims</w:t>
      </w:r>
    </w:p>
    <w:p w14:paraId="2698F99C" w14:textId="7644450A" w:rsidR="007F6240" w:rsidRPr="008401D2" w:rsidRDefault="00E63130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t>Ensure that spending allocated to funding claims meets the criteria for the relevant grants and refer discrepancies to the External Reports Manager</w:t>
      </w:r>
    </w:p>
    <w:p w14:paraId="0BCC2448" w14:textId="77777777" w:rsidR="00BD5A51" w:rsidRPr="008401D2" w:rsidRDefault="00BD5A51" w:rsidP="00BD5A51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401D2">
        <w:rPr>
          <w:rFonts w:ascii="Verdana" w:eastAsia="Gill Sans MT" w:hAnsi="Verdana" w:cs="Arial"/>
          <w:sz w:val="24"/>
          <w:szCs w:val="16"/>
        </w:rPr>
        <w:t>Responsible for preparing statutory information/statistical financial returns for Government and other statutory bodies in accordance with regulatory frameworks</w:t>
      </w:r>
    </w:p>
    <w:p w14:paraId="40712BF3" w14:textId="4545E65E" w:rsidR="00893BFC" w:rsidRPr="008401D2" w:rsidRDefault="0096009A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t xml:space="preserve">Work with and challenge </w:t>
      </w:r>
      <w:proofErr w:type="gramStart"/>
      <w:r w:rsidRPr="008401D2">
        <w:rPr>
          <w:rFonts w:eastAsia="Gill Sans MT" w:cs="Arial"/>
          <w:b w:val="0"/>
          <w:bCs w:val="0"/>
          <w:color w:val="auto"/>
          <w:szCs w:val="16"/>
        </w:rPr>
        <w:t>others</w:t>
      </w:r>
      <w:proofErr w:type="gramEnd"/>
      <w:r w:rsidRPr="008401D2">
        <w:rPr>
          <w:rFonts w:eastAsia="Gill Sans MT" w:cs="Arial"/>
          <w:b w:val="0"/>
          <w:bCs w:val="0"/>
          <w:color w:val="auto"/>
          <w:szCs w:val="16"/>
        </w:rPr>
        <w:t xml:space="preserve"> professionals to ensure that required evidence is available and accurate in a timely manner to avoid duplication of effort</w:t>
      </w:r>
    </w:p>
    <w:p w14:paraId="71897933" w14:textId="77777777" w:rsidR="00952A24" w:rsidRDefault="00952A24" w:rsidP="00952A24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401D2">
        <w:rPr>
          <w:rFonts w:ascii="Verdana" w:eastAsia="Gill Sans MT" w:hAnsi="Verdana" w:cs="Arial"/>
          <w:sz w:val="24"/>
          <w:szCs w:val="16"/>
        </w:rPr>
        <w:t>Interpret and respond to queries relating to grant statements, using detailed specific knowledge of the relevant service and regulations</w:t>
      </w:r>
    </w:p>
    <w:p w14:paraId="1C595791" w14:textId="77777777" w:rsidR="008401D2" w:rsidRPr="008401D2" w:rsidRDefault="008401D2" w:rsidP="008401D2">
      <w:pPr>
        <w:spacing w:after="0" w:line="240" w:lineRule="auto"/>
        <w:ind w:left="720"/>
        <w:rPr>
          <w:rFonts w:ascii="Verdana" w:eastAsia="Gill Sans MT" w:hAnsi="Verdana" w:cs="Arial"/>
          <w:sz w:val="24"/>
          <w:szCs w:val="16"/>
        </w:rPr>
      </w:pPr>
    </w:p>
    <w:p w14:paraId="168C7F26" w14:textId="77777777" w:rsidR="006605C9" w:rsidRDefault="006605C9" w:rsidP="006605C9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401D2">
        <w:rPr>
          <w:rFonts w:ascii="Verdana" w:eastAsia="Gill Sans MT" w:hAnsi="Verdana" w:cs="Arial"/>
          <w:sz w:val="24"/>
          <w:szCs w:val="16"/>
        </w:rPr>
        <w:t>Provide advice to budget holders on the regulations and outcome returns required for specific grants.</w:t>
      </w:r>
    </w:p>
    <w:p w14:paraId="34F81B71" w14:textId="77777777" w:rsidR="008401D2" w:rsidRPr="008401D2" w:rsidRDefault="008401D2" w:rsidP="008401D2">
      <w:pPr>
        <w:spacing w:after="0" w:line="240" w:lineRule="auto"/>
        <w:rPr>
          <w:rFonts w:ascii="Verdana" w:eastAsia="Gill Sans MT" w:hAnsi="Verdana" w:cs="Arial"/>
          <w:sz w:val="24"/>
          <w:szCs w:val="16"/>
        </w:rPr>
      </w:pPr>
    </w:p>
    <w:p w14:paraId="3C237187" w14:textId="77777777" w:rsidR="00161408" w:rsidRPr="008401D2" w:rsidRDefault="00161408" w:rsidP="00161408">
      <w:pPr>
        <w:numPr>
          <w:ilvl w:val="0"/>
          <w:numId w:val="8"/>
        </w:numPr>
        <w:spacing w:after="0" w:line="240" w:lineRule="auto"/>
        <w:rPr>
          <w:rFonts w:ascii="Verdana" w:eastAsia="Gill Sans MT" w:hAnsi="Verdana" w:cs="Arial"/>
          <w:sz w:val="24"/>
          <w:szCs w:val="16"/>
        </w:rPr>
      </w:pPr>
      <w:r w:rsidRPr="008401D2">
        <w:rPr>
          <w:rFonts w:ascii="Verdana" w:eastAsia="Gill Sans MT" w:hAnsi="Verdana" w:cs="Arial"/>
          <w:sz w:val="24"/>
          <w:szCs w:val="16"/>
        </w:rPr>
        <w:t>Liaise with budget holders and Finance Partners to resolve simple queries in relation to statutory returns.</w:t>
      </w:r>
    </w:p>
    <w:p w14:paraId="481B96E1" w14:textId="43CEBCB2" w:rsidR="0096009A" w:rsidRPr="008401D2" w:rsidRDefault="007F6796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t>Calculate school formula allocations and prepare a report for approval of these</w:t>
      </w:r>
    </w:p>
    <w:p w14:paraId="759B304D" w14:textId="22FB7B54" w:rsidR="007F6796" w:rsidRPr="008401D2" w:rsidRDefault="002B7C4B" w:rsidP="00484530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t>Create data systems as required to record evidence and monitor grant claims</w:t>
      </w:r>
    </w:p>
    <w:p w14:paraId="3E7F65FD" w14:textId="17BE3001" w:rsidR="0041456C" w:rsidRPr="008401D2" w:rsidRDefault="008401D2" w:rsidP="001F3113">
      <w:pPr>
        <w:pStyle w:val="Body-Bold"/>
        <w:numPr>
          <w:ilvl w:val="0"/>
          <w:numId w:val="8"/>
        </w:numPr>
        <w:spacing w:line="240" w:lineRule="auto"/>
        <w:ind w:left="714" w:hanging="357"/>
        <w:rPr>
          <w:b w:val="0"/>
          <w:bCs w:val="0"/>
        </w:rPr>
      </w:pPr>
      <w:r w:rsidRPr="008401D2">
        <w:rPr>
          <w:rFonts w:eastAsia="Gill Sans MT" w:cs="Arial"/>
          <w:b w:val="0"/>
          <w:bCs w:val="0"/>
          <w:color w:val="auto"/>
          <w:szCs w:val="16"/>
        </w:rPr>
        <w:lastRenderedPageBreak/>
        <w:t>Undertake other appropriate duties as directed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2F8E5956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375E1CDB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="00E8081B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3E5B212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  <w:p w14:paraId="74AB4191" w14:textId="3D61BB26" w:rsidR="007F40DE" w:rsidRPr="0041456C" w:rsidRDefault="003A1D1B" w:rsidP="008F5C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AAT member, or appropriate Level 3 qualification (or equivalent experience)</w:t>
            </w: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93AAFFB" w14:textId="77777777" w:rsidR="00220A4C" w:rsidRPr="008266FE" w:rsidRDefault="00220A4C" w:rsidP="00220A4C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AFB9568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2568CC0E" w14:textId="7AF2C917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Two years</w:t>
            </w:r>
            <w:r>
              <w:rPr>
                <w:rFonts w:ascii="Gill Sans MT" w:eastAsia="Gill Sans MT" w:hAnsi="Gill Sans MT"/>
                <w:sz w:val="24"/>
              </w:rPr>
              <w:t>’</w:t>
            </w:r>
            <w:r w:rsidRPr="00461158">
              <w:rPr>
                <w:rFonts w:ascii="Gill Sans MT" w:eastAsia="Gill Sans MT" w:hAnsi="Gill Sans MT"/>
                <w:sz w:val="24"/>
              </w:rPr>
              <w:t xml:space="preserve"> experience working in financial services.</w:t>
            </w:r>
          </w:p>
          <w:p w14:paraId="40690D0D" w14:textId="77777777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 xml:space="preserve">Sound knowledge of relevant financial systems, especially SAP. </w:t>
            </w:r>
          </w:p>
          <w:p w14:paraId="19268F01" w14:textId="77777777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Experience of processing transactions in the Authority’s financial system (or similar).</w:t>
            </w:r>
          </w:p>
          <w:p w14:paraId="7748E6B0" w14:textId="77777777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Experience of producing financial statements and other financial information. </w:t>
            </w:r>
          </w:p>
          <w:p w14:paraId="42C6D929" w14:textId="1677BF39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Experience of gathering and verifying data for grant funding returns.</w:t>
            </w:r>
          </w:p>
          <w:p w14:paraId="6185D109" w14:textId="77777777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Knowledge of the purpose and regulations relating to specific Local Authority statutory returns.</w:t>
            </w:r>
          </w:p>
          <w:p w14:paraId="65B1299F" w14:textId="77777777" w:rsidR="00241617" w:rsidRPr="00461158" w:rsidRDefault="00241617" w:rsidP="002416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Knowledge of specific grant requirements and how these are met in a particular service area</w:t>
            </w:r>
          </w:p>
          <w:p w14:paraId="186B0F1C" w14:textId="77777777" w:rsidR="00313E91" w:rsidRPr="0041456C" w:rsidRDefault="00313E91" w:rsidP="0024161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2F05BE16" w14:textId="77777777" w:rsidR="00313E91" w:rsidRDefault="00313E91" w:rsidP="004A1EDD">
            <w:pPr>
              <w:rPr>
                <w:rFonts w:ascii="Gill Sans MT" w:eastAsia="Gill Sans MT" w:hAnsi="Gill Sans MT"/>
              </w:rPr>
            </w:pPr>
          </w:p>
          <w:p w14:paraId="5A26DEC1" w14:textId="381F978D" w:rsidR="00220A4C" w:rsidRPr="008266FE" w:rsidRDefault="00220A4C" w:rsidP="00220A4C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73459890" w14:textId="77777777" w:rsidR="00220A4C" w:rsidRPr="0041456C" w:rsidRDefault="00220A4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7170519B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Good numeracy and literacy skills.</w:t>
            </w:r>
          </w:p>
          <w:p w14:paraId="7CF7A9D5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Demonstrate effective use of spreadsheets and word processing skills.</w:t>
            </w:r>
          </w:p>
          <w:p w14:paraId="443B3A67" w14:textId="0900D052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 xml:space="preserve">Demonstrate ability to retrieve and manipulate financial information </w:t>
            </w:r>
            <w:proofErr w:type="gramStart"/>
            <w:r w:rsidRPr="00461158">
              <w:rPr>
                <w:rFonts w:ascii="Gill Sans MT" w:eastAsia="Gill Sans MT" w:hAnsi="Gill Sans MT"/>
                <w:sz w:val="24"/>
              </w:rPr>
              <w:t>for the production of</w:t>
            </w:r>
            <w:proofErr w:type="gramEnd"/>
            <w:r w:rsidRPr="00461158">
              <w:rPr>
                <w:rFonts w:ascii="Gill Sans MT" w:eastAsia="Gill Sans MT" w:hAnsi="Gill Sans MT"/>
                <w:sz w:val="24"/>
              </w:rPr>
              <w:t xml:space="preserve"> statistics and reports</w:t>
            </w:r>
          </w:p>
          <w:p w14:paraId="2F3C5C28" w14:textId="7F447E0D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Able to work within clear frameworks of processes and procedures, adhering to financial regulations</w:t>
            </w:r>
          </w:p>
          <w:p w14:paraId="39A84319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 xml:space="preserve">Excellent interpersonal and communication skills </w:t>
            </w:r>
          </w:p>
          <w:p w14:paraId="0722E463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Able to communicate with colleagues across disciplines.</w:t>
            </w:r>
          </w:p>
          <w:p w14:paraId="60A05652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Able to challenge and support colleagues appropriately to gather missing information and maintain financial processes.</w:t>
            </w:r>
          </w:p>
          <w:p w14:paraId="021C7603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Attention to detail in monitoring quality of records and reports.</w:t>
            </w:r>
          </w:p>
          <w:p w14:paraId="18E80BFC" w14:textId="77777777" w:rsidR="001E386E" w:rsidRPr="00461158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Able to work effectively in a team.</w:t>
            </w:r>
          </w:p>
          <w:p w14:paraId="61515ECD" w14:textId="26D8B389" w:rsidR="001E386E" w:rsidRDefault="001E386E" w:rsidP="001E386E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461158">
              <w:rPr>
                <w:rFonts w:ascii="Gill Sans MT" w:eastAsia="Gill Sans MT" w:hAnsi="Gill Sans MT"/>
                <w:sz w:val="24"/>
              </w:rPr>
              <w:t>Able to work flexibly and creatively to meet changing</w:t>
            </w:r>
            <w:r>
              <w:rPr>
                <w:rFonts w:ascii="Gill Sans MT" w:eastAsia="Gill Sans MT" w:hAnsi="Gill Sans MT"/>
                <w:sz w:val="24"/>
              </w:rPr>
              <w:t xml:space="preserve"> priorities</w:t>
            </w:r>
            <w:r w:rsidR="00CC1BE7">
              <w:rPr>
                <w:rFonts w:ascii="Gill Sans MT" w:eastAsia="Gill Sans MT" w:hAnsi="Gill Sans MT"/>
                <w:sz w:val="24"/>
              </w:rPr>
              <w:t>.</w:t>
            </w:r>
          </w:p>
          <w:p w14:paraId="41DE29D1" w14:textId="01A4B5A2" w:rsidR="0041456C" w:rsidRDefault="0041456C" w:rsidP="00CC1BE7">
            <w:p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</w:p>
          <w:p w14:paraId="586F05A8" w14:textId="77777777" w:rsidR="00FA76E0" w:rsidRPr="00FA76E0" w:rsidRDefault="00FA76E0" w:rsidP="00FA76E0">
            <w:pPr>
              <w:spacing w:after="0" w:line="240" w:lineRule="auto"/>
              <w:ind w:left="720"/>
              <w:rPr>
                <w:rFonts w:ascii="Gill Sans MT" w:eastAsia="Gill Sans MT" w:hAnsi="Gill Sans MT"/>
                <w:sz w:val="24"/>
              </w:rPr>
            </w:pPr>
          </w:p>
          <w:p w14:paraId="0EFD44B0" w14:textId="02F71830" w:rsidR="007620FE" w:rsidRPr="0041456C" w:rsidRDefault="007620FE" w:rsidP="00071436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>This post is designated as a casual car user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ECA56B7" w14:textId="77777777" w:rsidR="00E12D63" w:rsidRPr="008266FE" w:rsidRDefault="00E12D63" w:rsidP="00E12D63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41C6BA5A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623A641D">
        <w:rPr>
          <w:rFonts w:ascii="Verdana" w:eastAsia="Gill Sans MT" w:hAnsi="Verdana" w:cs="Arial"/>
        </w:rPr>
        <w:t>centre</w:t>
      </w:r>
      <w:proofErr w:type="spellEnd"/>
      <w:r w:rsidRPr="623A641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6985" w14:textId="77777777" w:rsidR="00083F48" w:rsidRDefault="00083F48" w:rsidP="003E7AA3">
      <w:pPr>
        <w:spacing w:after="0" w:line="240" w:lineRule="auto"/>
      </w:pPr>
      <w:r>
        <w:separator/>
      </w:r>
    </w:p>
  </w:endnote>
  <w:endnote w:type="continuationSeparator" w:id="0">
    <w:p w14:paraId="492FCF2B" w14:textId="77777777" w:rsidR="00083F48" w:rsidRDefault="00083F48" w:rsidP="003E7AA3">
      <w:pPr>
        <w:spacing w:after="0" w:line="240" w:lineRule="auto"/>
      </w:pPr>
      <w:r>
        <w:continuationSeparator/>
      </w:r>
    </w:p>
  </w:endnote>
  <w:endnote w:type="continuationNotice" w:id="1">
    <w:p w14:paraId="03F52BA5" w14:textId="77777777" w:rsidR="00083F48" w:rsidRDefault="00083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D8F8B" w14:textId="77777777" w:rsidR="00083F48" w:rsidRDefault="00083F48" w:rsidP="003E7AA3">
      <w:pPr>
        <w:spacing w:after="0" w:line="240" w:lineRule="auto"/>
      </w:pPr>
      <w:r>
        <w:separator/>
      </w:r>
    </w:p>
  </w:footnote>
  <w:footnote w:type="continuationSeparator" w:id="0">
    <w:p w14:paraId="68EF45BD" w14:textId="77777777" w:rsidR="00083F48" w:rsidRDefault="00083F48" w:rsidP="003E7AA3">
      <w:pPr>
        <w:spacing w:after="0" w:line="240" w:lineRule="auto"/>
      </w:pPr>
      <w:r>
        <w:continuationSeparator/>
      </w:r>
    </w:p>
  </w:footnote>
  <w:footnote w:type="continuationNotice" w:id="1">
    <w:p w14:paraId="1E8A19B6" w14:textId="77777777" w:rsidR="00083F48" w:rsidRDefault="00083F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8F95B03" w:rsidR="0041456C" w:rsidRPr="00EE50CC" w:rsidRDefault="00843533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Finance</w:t>
                          </w:r>
                          <w:r w:rsidR="0041456C" w:rsidRPr="00EE50CC">
                            <w:t xml:space="preserve"> –</w:t>
                          </w:r>
                          <w:r>
                            <w:t xml:space="preserve"> Corporate Finance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48F95B03" w:rsidR="0041456C" w:rsidRPr="00EE50CC" w:rsidRDefault="00843533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Finance</w:t>
                    </w:r>
                    <w:r w:rsidR="0041456C" w:rsidRPr="00EE50CC">
                      <w:t xml:space="preserve"> –</w:t>
                    </w:r>
                    <w:r>
                      <w:t xml:space="preserve"> Corporate Finance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B80692"/>
    <w:multiLevelType w:val="hybridMultilevel"/>
    <w:tmpl w:val="B600CF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ymbol" w:hint="default"/>
      </w:rPr>
    </w:lvl>
    <w:lvl w:ilvl="1" w:tplc="B4C2F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C262C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D56AE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7E8E9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BC4B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A70014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8B34CB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2AE4E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5"/>
  </w:num>
  <w:num w:numId="5" w16cid:durableId="1964458954">
    <w:abstractNumId w:val="2"/>
  </w:num>
  <w:num w:numId="6" w16cid:durableId="1504541025">
    <w:abstractNumId w:val="14"/>
  </w:num>
  <w:num w:numId="7" w16cid:durableId="1903982057">
    <w:abstractNumId w:val="11"/>
  </w:num>
  <w:num w:numId="8" w16cid:durableId="280694580">
    <w:abstractNumId w:val="16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2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1099839673">
    <w:abstractNumId w:val="9"/>
  </w:num>
  <w:num w:numId="17" w16cid:durableId="523443369">
    <w:abstractNumId w:val="10"/>
  </w:num>
  <w:num w:numId="18" w16cid:durableId="2070375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E95"/>
    <w:rsid w:val="00022F4E"/>
    <w:rsid w:val="00027970"/>
    <w:rsid w:val="0004578C"/>
    <w:rsid w:val="00071436"/>
    <w:rsid w:val="00083F48"/>
    <w:rsid w:val="000A2490"/>
    <w:rsid w:val="000B2785"/>
    <w:rsid w:val="000F5850"/>
    <w:rsid w:val="00141D89"/>
    <w:rsid w:val="00161408"/>
    <w:rsid w:val="00161FE8"/>
    <w:rsid w:val="001661A9"/>
    <w:rsid w:val="001667C8"/>
    <w:rsid w:val="0019108A"/>
    <w:rsid w:val="001A15EA"/>
    <w:rsid w:val="001E386E"/>
    <w:rsid w:val="001F3113"/>
    <w:rsid w:val="0020240C"/>
    <w:rsid w:val="00213480"/>
    <w:rsid w:val="002141BE"/>
    <w:rsid w:val="00220A4C"/>
    <w:rsid w:val="00241617"/>
    <w:rsid w:val="0024586E"/>
    <w:rsid w:val="0024636C"/>
    <w:rsid w:val="00261654"/>
    <w:rsid w:val="00265281"/>
    <w:rsid w:val="002B4738"/>
    <w:rsid w:val="002B7C4B"/>
    <w:rsid w:val="002D237E"/>
    <w:rsid w:val="002D413B"/>
    <w:rsid w:val="002F6DE8"/>
    <w:rsid w:val="00313E91"/>
    <w:rsid w:val="00316CA7"/>
    <w:rsid w:val="00366F6C"/>
    <w:rsid w:val="003739AB"/>
    <w:rsid w:val="003A1D1B"/>
    <w:rsid w:val="003C5847"/>
    <w:rsid w:val="003E7AA3"/>
    <w:rsid w:val="003F50AB"/>
    <w:rsid w:val="0041456C"/>
    <w:rsid w:val="00465664"/>
    <w:rsid w:val="00484530"/>
    <w:rsid w:val="004A1EDD"/>
    <w:rsid w:val="004C4121"/>
    <w:rsid w:val="004C58E3"/>
    <w:rsid w:val="004E2C1E"/>
    <w:rsid w:val="005230D6"/>
    <w:rsid w:val="00535B0F"/>
    <w:rsid w:val="00540698"/>
    <w:rsid w:val="00577B86"/>
    <w:rsid w:val="0058247F"/>
    <w:rsid w:val="00582509"/>
    <w:rsid w:val="00584167"/>
    <w:rsid w:val="005D467F"/>
    <w:rsid w:val="00617406"/>
    <w:rsid w:val="00636F40"/>
    <w:rsid w:val="006605C9"/>
    <w:rsid w:val="006667E8"/>
    <w:rsid w:val="00671CC9"/>
    <w:rsid w:val="006E437B"/>
    <w:rsid w:val="0070227B"/>
    <w:rsid w:val="007620FE"/>
    <w:rsid w:val="00770B6C"/>
    <w:rsid w:val="00792EE5"/>
    <w:rsid w:val="00795818"/>
    <w:rsid w:val="00797BFE"/>
    <w:rsid w:val="007A6708"/>
    <w:rsid w:val="007F40DE"/>
    <w:rsid w:val="007F6240"/>
    <w:rsid w:val="007F6796"/>
    <w:rsid w:val="0080309F"/>
    <w:rsid w:val="00812547"/>
    <w:rsid w:val="00816AA1"/>
    <w:rsid w:val="008401D2"/>
    <w:rsid w:val="00841A14"/>
    <w:rsid w:val="00843533"/>
    <w:rsid w:val="00872B70"/>
    <w:rsid w:val="00893BFC"/>
    <w:rsid w:val="008B4F3B"/>
    <w:rsid w:val="008D2430"/>
    <w:rsid w:val="008E17A6"/>
    <w:rsid w:val="008F5CA9"/>
    <w:rsid w:val="009446C3"/>
    <w:rsid w:val="00952A24"/>
    <w:rsid w:val="0096009A"/>
    <w:rsid w:val="0096580A"/>
    <w:rsid w:val="0097248E"/>
    <w:rsid w:val="00977EA1"/>
    <w:rsid w:val="0098215C"/>
    <w:rsid w:val="0099470D"/>
    <w:rsid w:val="009D51A0"/>
    <w:rsid w:val="00A34FE9"/>
    <w:rsid w:val="00A37097"/>
    <w:rsid w:val="00A433A7"/>
    <w:rsid w:val="00A645DA"/>
    <w:rsid w:val="00A761DD"/>
    <w:rsid w:val="00A85FD8"/>
    <w:rsid w:val="00AA1BC1"/>
    <w:rsid w:val="00AB1426"/>
    <w:rsid w:val="00AD6686"/>
    <w:rsid w:val="00B6703F"/>
    <w:rsid w:val="00B9509B"/>
    <w:rsid w:val="00BB233B"/>
    <w:rsid w:val="00BD5A51"/>
    <w:rsid w:val="00BF6F08"/>
    <w:rsid w:val="00C003AD"/>
    <w:rsid w:val="00C055B5"/>
    <w:rsid w:val="00C20BE9"/>
    <w:rsid w:val="00C302E9"/>
    <w:rsid w:val="00C86E78"/>
    <w:rsid w:val="00CA45C1"/>
    <w:rsid w:val="00CC1BE7"/>
    <w:rsid w:val="00CD038B"/>
    <w:rsid w:val="00CE04A1"/>
    <w:rsid w:val="00CE77D4"/>
    <w:rsid w:val="00CF33CD"/>
    <w:rsid w:val="00D01CE1"/>
    <w:rsid w:val="00D22ECD"/>
    <w:rsid w:val="00D570E7"/>
    <w:rsid w:val="00D94BB4"/>
    <w:rsid w:val="00D957B1"/>
    <w:rsid w:val="00DB70A1"/>
    <w:rsid w:val="00DF0A92"/>
    <w:rsid w:val="00E10ED6"/>
    <w:rsid w:val="00E12D63"/>
    <w:rsid w:val="00E63130"/>
    <w:rsid w:val="00E8081B"/>
    <w:rsid w:val="00EC0C4E"/>
    <w:rsid w:val="00EE50CC"/>
    <w:rsid w:val="00F44FD8"/>
    <w:rsid w:val="00F72F3D"/>
    <w:rsid w:val="00FA76E0"/>
    <w:rsid w:val="00FC632D"/>
    <w:rsid w:val="00FD1269"/>
    <w:rsid w:val="00FE28F9"/>
    <w:rsid w:val="00FE537E"/>
    <w:rsid w:val="00FE57BD"/>
    <w:rsid w:val="00FF75FE"/>
    <w:rsid w:val="02970591"/>
    <w:rsid w:val="0306DE1A"/>
    <w:rsid w:val="044317F1"/>
    <w:rsid w:val="065245B9"/>
    <w:rsid w:val="071A9307"/>
    <w:rsid w:val="0739E74C"/>
    <w:rsid w:val="0C09183C"/>
    <w:rsid w:val="0EA37623"/>
    <w:rsid w:val="0F96BF93"/>
    <w:rsid w:val="0FBBC53A"/>
    <w:rsid w:val="10F4C3C6"/>
    <w:rsid w:val="11053D4C"/>
    <w:rsid w:val="129675A0"/>
    <w:rsid w:val="12DCB650"/>
    <w:rsid w:val="12EBF8CD"/>
    <w:rsid w:val="147886B1"/>
    <w:rsid w:val="14C029AF"/>
    <w:rsid w:val="15BF8612"/>
    <w:rsid w:val="16D522D8"/>
    <w:rsid w:val="1777271E"/>
    <w:rsid w:val="18B353DE"/>
    <w:rsid w:val="1A77C79F"/>
    <w:rsid w:val="1A9D47F1"/>
    <w:rsid w:val="202E4248"/>
    <w:rsid w:val="21C59530"/>
    <w:rsid w:val="223EC753"/>
    <w:rsid w:val="237CAE60"/>
    <w:rsid w:val="23B57A4C"/>
    <w:rsid w:val="25C0252C"/>
    <w:rsid w:val="28FA47B9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4EBB72A9"/>
    <w:rsid w:val="50F0536E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6B49E77"/>
    <w:rsid w:val="66E03C93"/>
    <w:rsid w:val="68D6FF4D"/>
    <w:rsid w:val="6A72CFAE"/>
    <w:rsid w:val="6AE4C042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A7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907</Words>
  <Characters>5175</Characters>
  <Application>Microsoft Office Word</Application>
  <DocSecurity>4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Rodgers, Luke (Finance)</cp:lastModifiedBy>
  <cp:revision>2</cp:revision>
  <dcterms:created xsi:type="dcterms:W3CDTF">2025-02-26T14:44:00Z</dcterms:created>
  <dcterms:modified xsi:type="dcterms:W3CDTF">2025-02-26T14:44:00Z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