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66F2BA3C"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AFD">
        <w:t>Deputy Manager</w:t>
      </w:r>
      <w:r w:rsidR="0057426C">
        <w:t xml:space="preserve"> – Children With Disabilities</w:t>
      </w:r>
    </w:p>
    <w:p w14:paraId="07D3062E" w14:textId="0142BD18" w:rsidR="00816AA1" w:rsidRDefault="10F4C3C6" w:rsidP="00B866C0">
      <w:pPr>
        <w:pStyle w:val="JobTitle"/>
      </w:pPr>
      <w:r>
        <w:t>Grade</w:t>
      </w:r>
      <w:r w:rsidR="00F1467B">
        <w:t xml:space="preserve"> </w:t>
      </w:r>
      <w:r w:rsidR="004C1AFD">
        <w:t>9</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60DB2550" w14:textId="69F1F3CE" w:rsidR="006E65A8" w:rsidRPr="006E65A8" w:rsidRDefault="006E65A8" w:rsidP="006E65A8">
      <w:pPr>
        <w:rPr>
          <w:rFonts w:ascii="Verdana" w:hAnsi="Verdana" w:cs="Arial"/>
          <w:b/>
          <w:sz w:val="24"/>
          <w:szCs w:val="24"/>
        </w:rPr>
      </w:pPr>
      <w:r w:rsidRPr="006E65A8">
        <w:rPr>
          <w:rFonts w:ascii="Verdana" w:hAnsi="Verdana" w:cs="Arial"/>
          <w:b/>
          <w:sz w:val="24"/>
          <w:szCs w:val="24"/>
        </w:rPr>
        <w:t xml:space="preserve">Vision Statement for </w:t>
      </w:r>
      <w:r w:rsidR="004C1AFD">
        <w:rPr>
          <w:rFonts w:ascii="Verdana" w:hAnsi="Verdana" w:cs="Arial"/>
          <w:b/>
          <w:sz w:val="24"/>
          <w:szCs w:val="24"/>
        </w:rPr>
        <w:t>Children and Families</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proofErr w:type="spellStart"/>
      <w:r w:rsidRPr="00E73DD5">
        <w:rPr>
          <w:rFonts w:ascii="Verdana" w:hAnsi="Verdana" w:cs="Arial"/>
          <w:sz w:val="24"/>
          <w:szCs w:val="24"/>
        </w:rPr>
        <w:t>organisations</w:t>
      </w:r>
      <w:proofErr w:type="spellEnd"/>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3EB9D0C3" w14:textId="77777777" w:rsidR="00643B81" w:rsidRDefault="00643B81" w:rsidP="00922909">
      <w:pPr>
        <w:pStyle w:val="Body-Bold"/>
      </w:pPr>
    </w:p>
    <w:p w14:paraId="536AFA19" w14:textId="77777777" w:rsidR="00643B81" w:rsidRDefault="00643B81" w:rsidP="00922909">
      <w:pPr>
        <w:pStyle w:val="Body-Bold"/>
      </w:pPr>
    </w:p>
    <w:p w14:paraId="65607C87" w14:textId="77777777" w:rsidR="00643B81" w:rsidRDefault="00643B81" w:rsidP="00922909">
      <w:pPr>
        <w:pStyle w:val="Body-Bold"/>
      </w:pPr>
    </w:p>
    <w:p w14:paraId="54E1BE47" w14:textId="4A09647A" w:rsidR="00922909" w:rsidRPr="00922909" w:rsidRDefault="00922909" w:rsidP="00922909">
      <w:pPr>
        <w:pStyle w:val="Body-Bold"/>
      </w:pPr>
      <w:r w:rsidRPr="00922909">
        <w:lastRenderedPageBreak/>
        <w:t>Looked After Children’s Service</w:t>
      </w:r>
    </w:p>
    <w:p w14:paraId="734D9589" w14:textId="77777777" w:rsidR="00922909" w:rsidRPr="00922909" w:rsidRDefault="00922909" w:rsidP="00922909">
      <w:pPr>
        <w:pStyle w:val="Body-Bold"/>
        <w:rPr>
          <w:b w:val="0"/>
          <w:bCs w:val="0"/>
        </w:rPr>
      </w:pP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77D4E310" w:rsidR="007C5F2B" w:rsidRDefault="00816AA1" w:rsidP="001F3113">
      <w:pPr>
        <w:pStyle w:val="Body-Bold"/>
      </w:pPr>
      <w:r>
        <w:t xml:space="preserve">Responsible to: </w:t>
      </w:r>
      <w:r w:rsidR="004C1AFD">
        <w:rPr>
          <w:b w:val="0"/>
        </w:rPr>
        <w:t>Registered Manager</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BDD1B1F" w14:textId="73F03EC0" w:rsidR="004C1AFD" w:rsidRPr="004C1AFD" w:rsidRDefault="0041456C" w:rsidP="004C1AFD">
      <w:pPr>
        <w:pStyle w:val="Body-Bold"/>
        <w:spacing w:line="240" w:lineRule="auto"/>
      </w:pPr>
      <w:r>
        <w:t xml:space="preserve">Key Accountabilities: </w:t>
      </w:r>
    </w:p>
    <w:p w14:paraId="0E07809E" w14:textId="43B1ECFA" w:rsidR="004C1AFD" w:rsidRPr="004C1AFD" w:rsidRDefault="004C1AFD" w:rsidP="004C1AFD">
      <w:pPr>
        <w:pStyle w:val="Body-Bold"/>
        <w:numPr>
          <w:ilvl w:val="0"/>
          <w:numId w:val="33"/>
        </w:numPr>
        <w:rPr>
          <w:b w:val="0"/>
          <w:bCs w:val="0"/>
        </w:rPr>
      </w:pPr>
      <w:r w:rsidRPr="004C1AFD">
        <w:rPr>
          <w:b w:val="0"/>
          <w:bCs w:val="0"/>
        </w:rPr>
        <w:t>Within existing procedural requirements to assist the Registered Manager in ensuring that residential staff undertake their responsibilities in respect of the system for the control of admission to and discharges from short breaks establishments.</w:t>
      </w:r>
    </w:p>
    <w:p w14:paraId="50DDD350" w14:textId="77777777" w:rsidR="004C1AFD" w:rsidRPr="004C1AFD" w:rsidRDefault="004C1AFD" w:rsidP="004C1AFD">
      <w:pPr>
        <w:pStyle w:val="Body-Bold"/>
        <w:rPr>
          <w:b w:val="0"/>
          <w:bCs w:val="0"/>
        </w:rPr>
      </w:pPr>
      <w:r w:rsidRPr="004C1AFD">
        <w:rPr>
          <w:b w:val="0"/>
          <w:bCs w:val="0"/>
        </w:rPr>
        <w:lastRenderedPageBreak/>
        <w:t>•</w:t>
      </w:r>
      <w:r w:rsidRPr="004C1AFD">
        <w:rPr>
          <w:b w:val="0"/>
          <w:bCs w:val="0"/>
        </w:rPr>
        <w:tab/>
        <w:t xml:space="preserve">To assist the Registered Manager in ensuring that reviews of children and young people are undertaken at the frequency agreed within </w:t>
      </w:r>
      <w:proofErr w:type="gramStart"/>
      <w:r w:rsidRPr="004C1AFD">
        <w:rPr>
          <w:b w:val="0"/>
          <w:bCs w:val="0"/>
        </w:rPr>
        <w:t>child care</w:t>
      </w:r>
      <w:proofErr w:type="gramEnd"/>
      <w:r w:rsidRPr="004C1AFD">
        <w:rPr>
          <w:b w:val="0"/>
          <w:bCs w:val="0"/>
        </w:rPr>
        <w:t xml:space="preserve"> plans and within statutory requirements.</w:t>
      </w:r>
    </w:p>
    <w:p w14:paraId="69007A74" w14:textId="77777777" w:rsidR="004C1AFD" w:rsidRPr="004C1AFD" w:rsidRDefault="004C1AFD" w:rsidP="004C1AFD">
      <w:pPr>
        <w:pStyle w:val="Body-Bold"/>
        <w:rPr>
          <w:b w:val="0"/>
          <w:bCs w:val="0"/>
        </w:rPr>
      </w:pPr>
      <w:r w:rsidRPr="004C1AFD">
        <w:rPr>
          <w:b w:val="0"/>
          <w:bCs w:val="0"/>
        </w:rPr>
        <w:t>•</w:t>
      </w:r>
      <w:r w:rsidRPr="004C1AFD">
        <w:rPr>
          <w:b w:val="0"/>
          <w:bCs w:val="0"/>
        </w:rPr>
        <w:tab/>
        <w:t>Monitor the implementation of care plans in respect of all children in the establishment’s care and promote increased participation by children and young people and their parents.</w:t>
      </w:r>
    </w:p>
    <w:p w14:paraId="52669E8A" w14:textId="77777777" w:rsidR="004C1AFD" w:rsidRPr="004C1AFD" w:rsidRDefault="004C1AFD" w:rsidP="004C1AFD">
      <w:pPr>
        <w:pStyle w:val="Body-Bold"/>
        <w:rPr>
          <w:b w:val="0"/>
          <w:bCs w:val="0"/>
        </w:rPr>
      </w:pPr>
      <w:r w:rsidRPr="004C1AFD">
        <w:rPr>
          <w:b w:val="0"/>
          <w:bCs w:val="0"/>
        </w:rPr>
        <w:t>•</w:t>
      </w:r>
      <w:r w:rsidRPr="004C1AFD">
        <w:rPr>
          <w:b w:val="0"/>
          <w:bCs w:val="0"/>
        </w:rPr>
        <w:tab/>
        <w:t>To assist the Registered Manager in ensuring that staff in the establishment maintain appropriate records in accordance with departmental guidelines and procedures.</w:t>
      </w:r>
    </w:p>
    <w:p w14:paraId="45DCEB46" w14:textId="77777777" w:rsidR="004C1AFD" w:rsidRPr="004C1AFD" w:rsidRDefault="004C1AFD" w:rsidP="004C1AFD">
      <w:pPr>
        <w:pStyle w:val="Body-Bold"/>
        <w:rPr>
          <w:b w:val="0"/>
          <w:bCs w:val="0"/>
        </w:rPr>
      </w:pPr>
      <w:r w:rsidRPr="004C1AFD">
        <w:rPr>
          <w:b w:val="0"/>
          <w:bCs w:val="0"/>
        </w:rPr>
        <w:t>•</w:t>
      </w:r>
      <w:r w:rsidRPr="004C1AFD">
        <w:rPr>
          <w:b w:val="0"/>
          <w:bCs w:val="0"/>
        </w:rPr>
        <w:tab/>
        <w:t>Monitor and ensure that the use of “measures of control” are in accordance with the Central Government and Departmental Guidelines and Procedures.</w:t>
      </w:r>
    </w:p>
    <w:p w14:paraId="473ABFC9" w14:textId="77777777" w:rsidR="004C1AFD" w:rsidRPr="004C1AFD" w:rsidRDefault="004C1AFD" w:rsidP="004C1AFD">
      <w:pPr>
        <w:pStyle w:val="Body-Bold"/>
        <w:rPr>
          <w:b w:val="0"/>
          <w:bCs w:val="0"/>
        </w:rPr>
      </w:pPr>
      <w:r w:rsidRPr="004C1AFD">
        <w:rPr>
          <w:b w:val="0"/>
          <w:bCs w:val="0"/>
        </w:rPr>
        <w:t>•</w:t>
      </w:r>
      <w:r w:rsidRPr="004C1AFD">
        <w:rPr>
          <w:b w:val="0"/>
          <w:bCs w:val="0"/>
        </w:rPr>
        <w:tab/>
        <w:t>To ensure in conjunction with the Registered Manager that the establishment is appropriately staffed according to the agreed level for the establishment by assessing in the recruitment process, liaising with HR staff and for the maintenance of appropriate rota arrangements.</w:t>
      </w:r>
    </w:p>
    <w:p w14:paraId="33DC5651" w14:textId="77777777" w:rsidR="004C1AFD" w:rsidRPr="004C1AFD" w:rsidRDefault="004C1AFD" w:rsidP="004C1AFD">
      <w:pPr>
        <w:pStyle w:val="Body-Bold"/>
        <w:rPr>
          <w:b w:val="0"/>
          <w:bCs w:val="0"/>
        </w:rPr>
      </w:pPr>
      <w:r w:rsidRPr="004C1AFD">
        <w:rPr>
          <w:b w:val="0"/>
          <w:bCs w:val="0"/>
        </w:rPr>
        <w:t>•</w:t>
      </w:r>
      <w:r w:rsidRPr="004C1AFD">
        <w:rPr>
          <w:b w:val="0"/>
          <w:bCs w:val="0"/>
        </w:rPr>
        <w:tab/>
        <w:t>To assist the Registered Manager in arranging for the induction of all care staff to the residential establishment and their responsibilities regarding procedural and regulatory requirements.</w:t>
      </w:r>
    </w:p>
    <w:p w14:paraId="26E8222A" w14:textId="77777777" w:rsidR="004C1AFD" w:rsidRPr="004C1AFD" w:rsidRDefault="004C1AFD" w:rsidP="004C1AFD">
      <w:pPr>
        <w:pStyle w:val="Body-Bold"/>
        <w:rPr>
          <w:b w:val="0"/>
          <w:bCs w:val="0"/>
        </w:rPr>
      </w:pPr>
      <w:r w:rsidRPr="004C1AFD">
        <w:rPr>
          <w:b w:val="0"/>
          <w:bCs w:val="0"/>
        </w:rPr>
        <w:t>•</w:t>
      </w:r>
      <w:r w:rsidRPr="004C1AFD">
        <w:rPr>
          <w:b w:val="0"/>
          <w:bCs w:val="0"/>
        </w:rPr>
        <w:tab/>
        <w:t>Through the agreed process ensure, with the Registered Manager, that buildings and furnishings are maintained to an acceptable level.</w:t>
      </w:r>
    </w:p>
    <w:p w14:paraId="32737CB3" w14:textId="77777777" w:rsidR="004C1AFD" w:rsidRPr="004C1AFD" w:rsidRDefault="004C1AFD" w:rsidP="004C1AFD">
      <w:pPr>
        <w:pStyle w:val="Body-Bold"/>
        <w:rPr>
          <w:b w:val="0"/>
          <w:bCs w:val="0"/>
        </w:rPr>
      </w:pPr>
      <w:r w:rsidRPr="004C1AFD">
        <w:rPr>
          <w:b w:val="0"/>
          <w:bCs w:val="0"/>
        </w:rPr>
        <w:t>•</w:t>
      </w:r>
      <w:r w:rsidRPr="004C1AFD">
        <w:rPr>
          <w:b w:val="0"/>
          <w:bCs w:val="0"/>
        </w:rPr>
        <w:tab/>
        <w:t>To assist in ensuring that the care provided by the establishment is within current legislation departmental policies, procedures, practice guidelines and is also appropriate to the assessed needs of the resident children and young people.</w:t>
      </w:r>
    </w:p>
    <w:p w14:paraId="1383B7E5" w14:textId="77777777" w:rsidR="004C1AFD" w:rsidRPr="004C1AFD" w:rsidRDefault="004C1AFD" w:rsidP="004C1AFD">
      <w:pPr>
        <w:pStyle w:val="Body-Bold"/>
        <w:rPr>
          <w:b w:val="0"/>
          <w:bCs w:val="0"/>
        </w:rPr>
      </w:pPr>
      <w:r w:rsidRPr="004C1AFD">
        <w:rPr>
          <w:b w:val="0"/>
          <w:bCs w:val="0"/>
        </w:rPr>
        <w:t>•</w:t>
      </w:r>
      <w:r w:rsidRPr="004C1AFD">
        <w:rPr>
          <w:b w:val="0"/>
          <w:bCs w:val="0"/>
        </w:rPr>
        <w:tab/>
        <w:t>Together with the Registered Manager regularly supervise all residential staff and maintain a written record of issues discussed and decisions reached and identify staff development needs.</w:t>
      </w:r>
    </w:p>
    <w:p w14:paraId="3F329000" w14:textId="77777777" w:rsidR="004C1AFD" w:rsidRPr="004C1AFD" w:rsidRDefault="004C1AFD" w:rsidP="004C1AFD">
      <w:pPr>
        <w:pStyle w:val="Body-Bold"/>
        <w:rPr>
          <w:b w:val="0"/>
          <w:bCs w:val="0"/>
        </w:rPr>
      </w:pPr>
      <w:r w:rsidRPr="004C1AFD">
        <w:rPr>
          <w:b w:val="0"/>
          <w:bCs w:val="0"/>
        </w:rPr>
        <w:t>•</w:t>
      </w:r>
      <w:r w:rsidRPr="004C1AFD">
        <w:rPr>
          <w:b w:val="0"/>
          <w:bCs w:val="0"/>
        </w:rPr>
        <w:tab/>
        <w:t>To be responsible for provision of professional supervision to an agreed number of staff in the establishment.</w:t>
      </w:r>
    </w:p>
    <w:p w14:paraId="11CB389A" w14:textId="77777777" w:rsidR="004C1AFD" w:rsidRPr="004C1AFD" w:rsidRDefault="004C1AFD" w:rsidP="004C1AFD">
      <w:pPr>
        <w:pStyle w:val="Body-Bold"/>
        <w:rPr>
          <w:b w:val="0"/>
          <w:bCs w:val="0"/>
        </w:rPr>
      </w:pPr>
      <w:r w:rsidRPr="004C1AFD">
        <w:rPr>
          <w:b w:val="0"/>
          <w:bCs w:val="0"/>
        </w:rPr>
        <w:lastRenderedPageBreak/>
        <w:t>•</w:t>
      </w:r>
      <w:r w:rsidRPr="004C1AFD">
        <w:rPr>
          <w:b w:val="0"/>
          <w:bCs w:val="0"/>
        </w:rPr>
        <w:tab/>
        <w:t>To assist the Registered Manager in ensuring that regular staff meetings are held in accordance with Departmental guidelines.</w:t>
      </w:r>
    </w:p>
    <w:p w14:paraId="3C47354D" w14:textId="77777777" w:rsidR="004C1AFD" w:rsidRPr="004C1AFD" w:rsidRDefault="004C1AFD" w:rsidP="004C1AFD">
      <w:pPr>
        <w:pStyle w:val="Body-Bold"/>
        <w:rPr>
          <w:b w:val="0"/>
          <w:bCs w:val="0"/>
        </w:rPr>
      </w:pPr>
      <w:r w:rsidRPr="004C1AFD">
        <w:rPr>
          <w:b w:val="0"/>
          <w:bCs w:val="0"/>
        </w:rPr>
        <w:t>•</w:t>
      </w:r>
      <w:r w:rsidRPr="004C1AFD">
        <w:rPr>
          <w:b w:val="0"/>
          <w:bCs w:val="0"/>
        </w:rPr>
        <w:tab/>
        <w:t>Identify and resolve (where possible), operational difficulties and propose solutions for consideration by the Children’s Service Manager.</w:t>
      </w:r>
    </w:p>
    <w:p w14:paraId="12D49E25" w14:textId="77777777" w:rsidR="004C1AFD" w:rsidRPr="004C1AFD" w:rsidRDefault="004C1AFD" w:rsidP="004C1AFD">
      <w:pPr>
        <w:pStyle w:val="Body-Bold"/>
        <w:rPr>
          <w:b w:val="0"/>
          <w:bCs w:val="0"/>
        </w:rPr>
      </w:pPr>
      <w:r w:rsidRPr="004C1AFD">
        <w:rPr>
          <w:b w:val="0"/>
          <w:bCs w:val="0"/>
        </w:rPr>
        <w:t>•</w:t>
      </w:r>
      <w:r w:rsidRPr="004C1AFD">
        <w:rPr>
          <w:b w:val="0"/>
          <w:bCs w:val="0"/>
        </w:rPr>
        <w:tab/>
        <w:t>To promote clear lines of communication and consultation for residential staff.</w:t>
      </w:r>
    </w:p>
    <w:p w14:paraId="01C3BCC0" w14:textId="77777777" w:rsidR="004C1AFD" w:rsidRPr="004C1AFD" w:rsidRDefault="004C1AFD" w:rsidP="004C1AFD">
      <w:pPr>
        <w:pStyle w:val="Body-Bold"/>
        <w:rPr>
          <w:b w:val="0"/>
          <w:bCs w:val="0"/>
        </w:rPr>
      </w:pPr>
      <w:r w:rsidRPr="004C1AFD">
        <w:rPr>
          <w:b w:val="0"/>
          <w:bCs w:val="0"/>
        </w:rPr>
        <w:t>•</w:t>
      </w:r>
      <w:r w:rsidRPr="004C1AFD">
        <w:rPr>
          <w:b w:val="0"/>
          <w:bCs w:val="0"/>
        </w:rPr>
        <w:tab/>
        <w:t>Inform and consult with the relevant Registered Manager and Care Management Staff regarding any operational difficulties which involve staff they have a responsibility toward.</w:t>
      </w:r>
    </w:p>
    <w:p w14:paraId="4D2CB3EB" w14:textId="77777777" w:rsidR="004C1AFD" w:rsidRPr="004C1AFD" w:rsidRDefault="004C1AFD" w:rsidP="004C1AFD">
      <w:pPr>
        <w:pStyle w:val="Body-Bold"/>
        <w:rPr>
          <w:b w:val="0"/>
          <w:bCs w:val="0"/>
        </w:rPr>
      </w:pPr>
      <w:r w:rsidRPr="004C1AFD">
        <w:rPr>
          <w:b w:val="0"/>
          <w:bCs w:val="0"/>
        </w:rPr>
        <w:t>•</w:t>
      </w:r>
      <w:r w:rsidRPr="004C1AFD">
        <w:rPr>
          <w:b w:val="0"/>
          <w:bCs w:val="0"/>
        </w:rPr>
        <w:tab/>
        <w:t>Liaise with other service providers and Assessment and Care Managers (</w:t>
      </w:r>
      <w:proofErr w:type="gramStart"/>
      <w:r w:rsidRPr="004C1AFD">
        <w:rPr>
          <w:b w:val="0"/>
          <w:bCs w:val="0"/>
        </w:rPr>
        <w:t>e.g.</w:t>
      </w:r>
      <w:proofErr w:type="gramEnd"/>
      <w:r w:rsidRPr="004C1AFD">
        <w:rPr>
          <w:b w:val="0"/>
          <w:bCs w:val="0"/>
        </w:rPr>
        <w:t xml:space="preserve"> family placement services for young people, adoption and resettlement), to encourage an effective partnership in the planning of care for children and young people.</w:t>
      </w:r>
    </w:p>
    <w:p w14:paraId="46FF119E" w14:textId="77777777" w:rsidR="004C1AFD" w:rsidRPr="004C1AFD" w:rsidRDefault="004C1AFD" w:rsidP="004C1AFD">
      <w:pPr>
        <w:pStyle w:val="Body-Bold"/>
        <w:rPr>
          <w:b w:val="0"/>
          <w:bCs w:val="0"/>
        </w:rPr>
      </w:pPr>
      <w:r w:rsidRPr="004C1AFD">
        <w:rPr>
          <w:b w:val="0"/>
          <w:bCs w:val="0"/>
        </w:rPr>
        <w:t>•</w:t>
      </w:r>
      <w:r w:rsidRPr="004C1AFD">
        <w:rPr>
          <w:b w:val="0"/>
          <w:bCs w:val="0"/>
        </w:rPr>
        <w:tab/>
        <w:t>To assist in the maintenance of appropriate records to provide accurate information relating to use of the accommodation, to inform longer term planning.  (Admission, reasons, choice/appropriateness of placement, lack of availability/appropriate resources, length of placements etc.)</w:t>
      </w:r>
    </w:p>
    <w:p w14:paraId="4253C3AC" w14:textId="77777777" w:rsidR="004C1AFD" w:rsidRPr="004C1AFD" w:rsidRDefault="004C1AFD" w:rsidP="004C1AFD">
      <w:pPr>
        <w:pStyle w:val="Body-Bold"/>
        <w:rPr>
          <w:b w:val="0"/>
          <w:bCs w:val="0"/>
        </w:rPr>
      </w:pPr>
      <w:r w:rsidRPr="004C1AFD">
        <w:rPr>
          <w:b w:val="0"/>
          <w:bCs w:val="0"/>
        </w:rPr>
        <w:t>•</w:t>
      </w:r>
      <w:r w:rsidRPr="004C1AFD">
        <w:rPr>
          <w:b w:val="0"/>
          <w:bCs w:val="0"/>
        </w:rPr>
        <w:tab/>
        <w:t xml:space="preserve">To assist the Registered Manager in implementing Departmental Procedures/Guidelines to ensure that all children, young </w:t>
      </w:r>
      <w:proofErr w:type="gramStart"/>
      <w:r w:rsidRPr="004C1AFD">
        <w:rPr>
          <w:b w:val="0"/>
          <w:bCs w:val="0"/>
        </w:rPr>
        <w:t>people</w:t>
      </w:r>
      <w:proofErr w:type="gramEnd"/>
      <w:r w:rsidRPr="004C1AFD">
        <w:rPr>
          <w:b w:val="0"/>
          <w:bCs w:val="0"/>
        </w:rPr>
        <w:t xml:space="preserve"> and staff are aware of the Children’s Complaints Procedure.</w:t>
      </w:r>
    </w:p>
    <w:p w14:paraId="22867F31" w14:textId="77777777" w:rsidR="004C1AFD" w:rsidRPr="004C1AFD" w:rsidRDefault="004C1AFD" w:rsidP="004C1AFD">
      <w:pPr>
        <w:pStyle w:val="Body-Bold"/>
        <w:rPr>
          <w:b w:val="0"/>
          <w:bCs w:val="0"/>
        </w:rPr>
      </w:pPr>
      <w:r w:rsidRPr="004C1AFD">
        <w:rPr>
          <w:b w:val="0"/>
          <w:bCs w:val="0"/>
        </w:rPr>
        <w:t>•</w:t>
      </w:r>
      <w:r w:rsidRPr="004C1AFD">
        <w:rPr>
          <w:b w:val="0"/>
          <w:bCs w:val="0"/>
        </w:rPr>
        <w:tab/>
        <w:t xml:space="preserve">To assist the Registered Manager in the responsibility they have for matters relating to discipline, </w:t>
      </w:r>
      <w:proofErr w:type="gramStart"/>
      <w:r w:rsidRPr="004C1AFD">
        <w:rPr>
          <w:b w:val="0"/>
          <w:bCs w:val="0"/>
        </w:rPr>
        <w:t>grievance</w:t>
      </w:r>
      <w:proofErr w:type="gramEnd"/>
      <w:r w:rsidRPr="004C1AFD">
        <w:rPr>
          <w:b w:val="0"/>
          <w:bCs w:val="0"/>
        </w:rPr>
        <w:t xml:space="preserve"> and industrial relations.</w:t>
      </w:r>
    </w:p>
    <w:p w14:paraId="1CCA4F3F" w14:textId="77777777" w:rsidR="004C1AFD" w:rsidRPr="004C1AFD" w:rsidRDefault="004C1AFD" w:rsidP="004C1AFD">
      <w:pPr>
        <w:pStyle w:val="Body-Bold"/>
        <w:rPr>
          <w:b w:val="0"/>
          <w:bCs w:val="0"/>
        </w:rPr>
      </w:pPr>
      <w:r w:rsidRPr="004C1AFD">
        <w:rPr>
          <w:b w:val="0"/>
          <w:bCs w:val="0"/>
        </w:rPr>
        <w:t>•</w:t>
      </w:r>
      <w:r w:rsidRPr="004C1AFD">
        <w:rPr>
          <w:b w:val="0"/>
          <w:bCs w:val="0"/>
        </w:rPr>
        <w:tab/>
        <w:t>To assist in the promotion of good relationships with local members of the community and wherever possible, to take immediate remedial action to resolve difficulties.</w:t>
      </w:r>
    </w:p>
    <w:p w14:paraId="184EF290" w14:textId="77777777" w:rsidR="004C1AFD" w:rsidRPr="004C1AFD" w:rsidRDefault="004C1AFD" w:rsidP="004C1AFD">
      <w:pPr>
        <w:pStyle w:val="Body-Bold"/>
        <w:rPr>
          <w:b w:val="0"/>
          <w:bCs w:val="0"/>
        </w:rPr>
      </w:pPr>
      <w:r w:rsidRPr="004C1AFD">
        <w:rPr>
          <w:b w:val="0"/>
          <w:bCs w:val="0"/>
        </w:rPr>
        <w:t>•</w:t>
      </w:r>
      <w:r w:rsidRPr="004C1AFD">
        <w:rPr>
          <w:b w:val="0"/>
          <w:bCs w:val="0"/>
        </w:rPr>
        <w:tab/>
        <w:t xml:space="preserve">To assist the Registered Manager in implementing any action required </w:t>
      </w:r>
      <w:proofErr w:type="gramStart"/>
      <w:r w:rsidRPr="004C1AFD">
        <w:rPr>
          <w:b w:val="0"/>
          <w:bCs w:val="0"/>
        </w:rPr>
        <w:t>as a consequence of</w:t>
      </w:r>
      <w:proofErr w:type="gramEnd"/>
      <w:r w:rsidRPr="004C1AFD">
        <w:rPr>
          <w:b w:val="0"/>
          <w:bCs w:val="0"/>
        </w:rPr>
        <w:t xml:space="preserve"> a statutory visitor’s report.</w:t>
      </w:r>
    </w:p>
    <w:p w14:paraId="27BC4D83" w14:textId="77777777" w:rsidR="004C1AFD" w:rsidRPr="004C1AFD" w:rsidRDefault="004C1AFD" w:rsidP="004C1AFD">
      <w:pPr>
        <w:pStyle w:val="Body-Bold"/>
        <w:rPr>
          <w:b w:val="0"/>
          <w:bCs w:val="0"/>
        </w:rPr>
      </w:pPr>
      <w:r w:rsidRPr="004C1AFD">
        <w:rPr>
          <w:b w:val="0"/>
          <w:bCs w:val="0"/>
        </w:rPr>
        <w:t>•</w:t>
      </w:r>
      <w:r w:rsidRPr="004C1AFD">
        <w:rPr>
          <w:b w:val="0"/>
          <w:bCs w:val="0"/>
        </w:rPr>
        <w:tab/>
        <w:t>To assist the Registered Manager in providing out of hours advice to staff as appropriate.</w:t>
      </w:r>
    </w:p>
    <w:p w14:paraId="7DF67433" w14:textId="77777777" w:rsidR="004C1AFD" w:rsidRPr="004C1AFD" w:rsidRDefault="004C1AFD" w:rsidP="004C1AFD">
      <w:pPr>
        <w:pStyle w:val="Body-Bold"/>
        <w:rPr>
          <w:b w:val="0"/>
          <w:bCs w:val="0"/>
        </w:rPr>
      </w:pPr>
      <w:r w:rsidRPr="004C1AFD">
        <w:rPr>
          <w:b w:val="0"/>
          <w:bCs w:val="0"/>
        </w:rPr>
        <w:lastRenderedPageBreak/>
        <w:t>•</w:t>
      </w:r>
      <w:r w:rsidRPr="004C1AFD">
        <w:rPr>
          <w:b w:val="0"/>
          <w:bCs w:val="0"/>
        </w:rPr>
        <w:tab/>
        <w:t>To assist the Registered Manager in ensuring that a programme of regular children’s meetings as arranged and that issues raised are brought to the attention of appropriate staff.</w:t>
      </w:r>
    </w:p>
    <w:p w14:paraId="72D4D205" w14:textId="77777777" w:rsidR="004C1AFD" w:rsidRPr="004C1AFD" w:rsidRDefault="004C1AFD" w:rsidP="004C1AFD">
      <w:pPr>
        <w:pStyle w:val="Body-Bold"/>
        <w:rPr>
          <w:b w:val="0"/>
          <w:bCs w:val="0"/>
        </w:rPr>
      </w:pPr>
      <w:r w:rsidRPr="004C1AFD">
        <w:rPr>
          <w:b w:val="0"/>
          <w:bCs w:val="0"/>
        </w:rPr>
        <w:t>•</w:t>
      </w:r>
      <w:r w:rsidRPr="004C1AFD">
        <w:rPr>
          <w:b w:val="0"/>
          <w:bCs w:val="0"/>
        </w:rPr>
        <w:tab/>
        <w:t>Where appropriate, to deputise for the Registered Manager in ensuring that all financial transactions are certified for payment and conducted within financial regulations and Departmental guidance and to hold responsibility for budgetary control of those budgets allocates to the Unit.</w:t>
      </w:r>
    </w:p>
    <w:p w14:paraId="6989EFA4" w14:textId="77777777" w:rsidR="004C1AFD" w:rsidRPr="004C1AFD" w:rsidRDefault="004C1AFD" w:rsidP="004C1AFD">
      <w:pPr>
        <w:pStyle w:val="Body-Bold"/>
        <w:rPr>
          <w:b w:val="0"/>
          <w:bCs w:val="0"/>
        </w:rPr>
      </w:pPr>
      <w:r w:rsidRPr="004C1AFD">
        <w:rPr>
          <w:b w:val="0"/>
          <w:bCs w:val="0"/>
        </w:rPr>
        <w:t>•</w:t>
      </w:r>
      <w:r w:rsidRPr="004C1AFD">
        <w:rPr>
          <w:b w:val="0"/>
          <w:bCs w:val="0"/>
        </w:rPr>
        <w:tab/>
        <w:t>To undertake NVQ duties in respect of obtaining A1 and V1 Awards.</w:t>
      </w:r>
    </w:p>
    <w:p w14:paraId="6BBB6115" w14:textId="77777777" w:rsidR="004C1AFD" w:rsidRPr="004C1AFD" w:rsidRDefault="004C1AFD" w:rsidP="004C1AFD">
      <w:pPr>
        <w:pStyle w:val="Body-Bold"/>
        <w:rPr>
          <w:b w:val="0"/>
          <w:bCs w:val="0"/>
        </w:rPr>
      </w:pPr>
      <w:r w:rsidRPr="004C1AFD">
        <w:rPr>
          <w:b w:val="0"/>
          <w:bCs w:val="0"/>
        </w:rPr>
        <w:t>•</w:t>
      </w:r>
      <w:r w:rsidRPr="004C1AFD">
        <w:rPr>
          <w:b w:val="0"/>
          <w:bCs w:val="0"/>
        </w:rPr>
        <w:tab/>
        <w:t>To act as a Practice Teacher for Students on placement.</w:t>
      </w:r>
    </w:p>
    <w:p w14:paraId="72A8342F" w14:textId="0E886229" w:rsidR="0057426C" w:rsidRDefault="004C1AFD" w:rsidP="004C1AFD">
      <w:pPr>
        <w:pStyle w:val="Body-Bold"/>
        <w:rPr>
          <w:b w:val="0"/>
          <w:bCs w:val="0"/>
        </w:rPr>
      </w:pPr>
      <w:r w:rsidRPr="004C1AFD">
        <w:rPr>
          <w:b w:val="0"/>
          <w:bCs w:val="0"/>
        </w:rPr>
        <w:t>•</w:t>
      </w:r>
      <w:r w:rsidRPr="004C1AFD">
        <w:rPr>
          <w:b w:val="0"/>
          <w:bCs w:val="0"/>
        </w:rPr>
        <w:tab/>
        <w:t>To undertake any other duties required by management, which are commensurate with the grading of the post.</w:t>
      </w:r>
    </w:p>
    <w:p w14:paraId="3AED7B58" w14:textId="66735C48" w:rsidR="0041456C" w:rsidRPr="00CB325D" w:rsidRDefault="0041456C" w:rsidP="0057426C">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62A43EB0" w:rsidR="00D540AF"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5205D85A" w14:textId="77777777" w:rsidR="004C1AFD" w:rsidRPr="00081904" w:rsidRDefault="004C1AFD" w:rsidP="00081904">
      <w:pPr>
        <w:ind w:left="357" w:firstLine="0"/>
        <w:jc w:val="both"/>
        <w:rPr>
          <w:rFonts w:ascii="Verdana" w:hAnsi="Verdana" w:cs="Avenir Heavy"/>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31BE5DBD" w14:textId="77777777" w:rsidR="004C1AFD" w:rsidRPr="004C1AFD" w:rsidRDefault="004C1AFD" w:rsidP="004C1AFD">
            <w:pPr>
              <w:pStyle w:val="ListParagraph"/>
              <w:numPr>
                <w:ilvl w:val="0"/>
                <w:numId w:val="25"/>
              </w:numPr>
              <w:rPr>
                <w:rFonts w:ascii="Gill Sans MT" w:eastAsia="Gill Sans MT" w:hAnsi="Gill Sans MT"/>
              </w:rPr>
            </w:pPr>
            <w:r w:rsidRPr="004C1AFD">
              <w:rPr>
                <w:rFonts w:ascii="Gill Sans MT" w:eastAsia="Gill Sans MT" w:hAnsi="Gill Sans MT"/>
              </w:rPr>
              <w:t>GCSE or equivalent in 5 subjects, including English and Maths</w:t>
            </w:r>
          </w:p>
          <w:p w14:paraId="6F1EEED4" w14:textId="77777777" w:rsidR="004C1AFD" w:rsidRPr="004C1AFD" w:rsidRDefault="004C1AFD" w:rsidP="004C1AFD">
            <w:pPr>
              <w:pStyle w:val="ListParagraph"/>
              <w:numPr>
                <w:ilvl w:val="0"/>
                <w:numId w:val="25"/>
              </w:numPr>
              <w:rPr>
                <w:rFonts w:ascii="Gill Sans MT" w:eastAsia="Gill Sans MT" w:hAnsi="Gill Sans MT"/>
              </w:rPr>
            </w:pPr>
            <w:r w:rsidRPr="004C1AFD">
              <w:rPr>
                <w:rFonts w:ascii="Gill Sans MT" w:eastAsia="Gill Sans MT" w:hAnsi="Gill Sans MT"/>
              </w:rPr>
              <w:t>Relevant social work or social care professional qualification or NVQIII Caring for Children &amp; Young People / Level 3 Diploma for Children, Young People Workforce (QCF)</w:t>
            </w:r>
          </w:p>
          <w:p w14:paraId="10BD2CAF" w14:textId="77777777" w:rsidR="004C1AFD" w:rsidRPr="004C1AFD" w:rsidRDefault="004C1AFD" w:rsidP="004C1AFD">
            <w:pPr>
              <w:pStyle w:val="ListParagraph"/>
              <w:numPr>
                <w:ilvl w:val="0"/>
                <w:numId w:val="25"/>
              </w:numPr>
              <w:rPr>
                <w:rFonts w:ascii="Gill Sans MT" w:eastAsia="Gill Sans MT" w:hAnsi="Gill Sans MT"/>
              </w:rPr>
            </w:pPr>
            <w:r w:rsidRPr="004C1AFD">
              <w:rPr>
                <w:rFonts w:ascii="Gill Sans MT" w:eastAsia="Gill Sans MT" w:hAnsi="Gill Sans MT"/>
              </w:rPr>
              <w:t>Demonstrate preparedness and commitment to undertake QCF level 5 in Leadership &amp; Management</w:t>
            </w:r>
          </w:p>
          <w:p w14:paraId="74AB4191" w14:textId="352D9BCA" w:rsidR="0041456C" w:rsidRPr="00081904" w:rsidRDefault="0041456C" w:rsidP="004C1AFD">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40CBA177"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1348D8B6"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Leadership skills</w:t>
            </w:r>
          </w:p>
          <w:p w14:paraId="6CAE8991"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 xml:space="preserve">Residential </w:t>
            </w:r>
            <w:proofErr w:type="gramStart"/>
            <w:r w:rsidRPr="004C1AFD">
              <w:rPr>
                <w:rFonts w:ascii="Gill Sans MT" w:hAnsi="Gill Sans MT"/>
              </w:rPr>
              <w:t>child care</w:t>
            </w:r>
            <w:proofErr w:type="gramEnd"/>
            <w:r w:rsidRPr="004C1AFD">
              <w:rPr>
                <w:rFonts w:ascii="Gill Sans MT" w:hAnsi="Gill Sans MT"/>
              </w:rPr>
              <w:t xml:space="preserve"> or related social work experience of minimum of two years.</w:t>
            </w:r>
          </w:p>
          <w:p w14:paraId="7EE07C81"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IT literate</w:t>
            </w:r>
          </w:p>
          <w:p w14:paraId="05155262"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Basic understanding of Children Act</w:t>
            </w:r>
          </w:p>
          <w:p w14:paraId="1E063446"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Understanding of reasons children become Looked After</w:t>
            </w:r>
          </w:p>
          <w:p w14:paraId="6F101D85" w14:textId="77777777" w:rsidR="004C1AFD" w:rsidRPr="004C1AFD" w:rsidRDefault="004C1AFD" w:rsidP="004C1AFD">
            <w:pPr>
              <w:pStyle w:val="ListParagraph"/>
              <w:numPr>
                <w:ilvl w:val="0"/>
                <w:numId w:val="27"/>
              </w:numPr>
              <w:jc w:val="both"/>
              <w:rPr>
                <w:rFonts w:ascii="Gill Sans MT" w:hAnsi="Gill Sans MT"/>
              </w:rPr>
            </w:pPr>
            <w:r w:rsidRPr="004C1AFD">
              <w:rPr>
                <w:rFonts w:ascii="Gill Sans MT" w:hAnsi="Gill Sans MT"/>
              </w:rPr>
              <w:t>Understanding of Child Protection issues</w:t>
            </w:r>
          </w:p>
          <w:p w14:paraId="186B0F1C" w14:textId="58496B14" w:rsidR="0041456C" w:rsidRPr="00643B81" w:rsidRDefault="004C1AFD" w:rsidP="004C1AFD">
            <w:pPr>
              <w:pStyle w:val="ListParagraph"/>
              <w:numPr>
                <w:ilvl w:val="0"/>
                <w:numId w:val="27"/>
              </w:numPr>
              <w:jc w:val="both"/>
              <w:rPr>
                <w:rFonts w:ascii="Gill Sans MT" w:hAnsi="Gill Sans MT"/>
              </w:rPr>
            </w:pPr>
            <w:r w:rsidRPr="004C1AFD">
              <w:rPr>
                <w:rFonts w:ascii="Gill Sans MT" w:hAnsi="Gill Sans MT"/>
              </w:rPr>
              <w:t>Knowledge of current regulations, attitudes, thinking and practices in providing quality short breaks care for children &amp; young people</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75B8D7BE"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demonstrate skill in providing care needs of children receiving short breaks</w:t>
            </w:r>
          </w:p>
          <w:p w14:paraId="4F399C78"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work with other professionals</w:t>
            </w:r>
          </w:p>
          <w:p w14:paraId="70347897"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 xml:space="preserve">To demonstrate skill in communicating effectively, both verbally, non-verbally and in writing. </w:t>
            </w:r>
            <w:proofErr w:type="gramStart"/>
            <w:r w:rsidRPr="004C1AFD">
              <w:rPr>
                <w:rFonts w:ascii="Gill Sans MT" w:eastAsia="Gill Sans MT" w:hAnsi="Gill Sans MT"/>
              </w:rPr>
              <w:t>e.g.</w:t>
            </w:r>
            <w:proofErr w:type="gramEnd"/>
            <w:r w:rsidRPr="004C1AFD">
              <w:rPr>
                <w:rFonts w:ascii="Gill Sans MT" w:eastAsia="Gill Sans MT" w:hAnsi="Gill Sans MT"/>
              </w:rPr>
              <w:t xml:space="preserve"> to write assessment reports, court reports, incident reports etc. to have discussions with parents, youngsters, colleagues and other professionals, present cases and pass on information coherently</w:t>
            </w:r>
          </w:p>
          <w:p w14:paraId="28032042"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create meaningful and purposeful relationships with children who have been damaged by life experiences</w:t>
            </w:r>
          </w:p>
          <w:p w14:paraId="1AF950EE"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lastRenderedPageBreak/>
              <w:t xml:space="preserve">To work as a member of a team, to be able to demonstrate skills in motivation, </w:t>
            </w:r>
            <w:proofErr w:type="gramStart"/>
            <w:r w:rsidRPr="004C1AFD">
              <w:rPr>
                <w:rFonts w:ascii="Gill Sans MT" w:eastAsia="Gill Sans MT" w:hAnsi="Gill Sans MT"/>
              </w:rPr>
              <w:t>persuasion</w:t>
            </w:r>
            <w:proofErr w:type="gramEnd"/>
            <w:r w:rsidRPr="004C1AFD">
              <w:rPr>
                <w:rFonts w:ascii="Gill Sans MT" w:eastAsia="Gill Sans MT" w:hAnsi="Gill Sans MT"/>
              </w:rPr>
              <w:t xml:space="preserve"> and negotiation; to demonstrate assertiveness</w:t>
            </w:r>
          </w:p>
          <w:p w14:paraId="69A282D7"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manage challenging behaviour</w:t>
            </w:r>
          </w:p>
          <w:p w14:paraId="1A825DC8"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 xml:space="preserve">To demonstrate skill in anticipating and diffusing or dealing appropriately with situations involving verbal and physical conflict </w:t>
            </w:r>
          </w:p>
          <w:p w14:paraId="165475CF"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learn from experience</w:t>
            </w:r>
          </w:p>
          <w:p w14:paraId="413849DC"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prepare and actively participate in the supervision process</w:t>
            </w:r>
          </w:p>
          <w:p w14:paraId="27765796"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work within legal constraints and Departmental Policies and Procedures</w:t>
            </w:r>
          </w:p>
          <w:p w14:paraId="020AE718" w14:textId="77777777" w:rsidR="004C1AFD" w:rsidRPr="004C1AFD" w:rsidRDefault="004C1AFD" w:rsidP="004C1AFD">
            <w:pPr>
              <w:pStyle w:val="ListParagraph"/>
              <w:numPr>
                <w:ilvl w:val="0"/>
                <w:numId w:val="34"/>
              </w:numPr>
              <w:jc w:val="both"/>
              <w:rPr>
                <w:rFonts w:ascii="Gill Sans MT" w:eastAsia="Gill Sans MT" w:hAnsi="Gill Sans MT"/>
              </w:rPr>
            </w:pPr>
            <w:r w:rsidRPr="004C1AFD">
              <w:rPr>
                <w:rFonts w:ascii="Gill Sans MT" w:eastAsia="Gill Sans MT" w:hAnsi="Gill Sans MT"/>
              </w:rPr>
              <w:t>To provide appropriate recreational activities</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6B96E87C" w:rsidR="0041456C" w:rsidRPr="0041456C" w:rsidRDefault="00D540AF" w:rsidP="00D540AF">
            <w:pPr>
              <w:rPr>
                <w:rFonts w:ascii="Gill Sans MT" w:eastAsia="Gill Sans MT" w:hAnsi="Gill Sans MT"/>
              </w:rPr>
            </w:pPr>
            <w:r>
              <w:rPr>
                <w:rFonts w:ascii="Gill Sans MT" w:eastAsia="Gill Sans MT" w:hAnsi="Gill Sans MT"/>
              </w:rPr>
              <w:t>A/I</w:t>
            </w:r>
            <w:r w:rsidR="0057426C">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02FF09A3" w14:textId="77777777" w:rsidR="004C1AFD" w:rsidRPr="004C1AFD" w:rsidRDefault="004C1AFD" w:rsidP="004C1AFD">
            <w:pPr>
              <w:pStyle w:val="ListParagraph"/>
              <w:numPr>
                <w:ilvl w:val="0"/>
                <w:numId w:val="36"/>
              </w:numPr>
              <w:jc w:val="both"/>
              <w:rPr>
                <w:rFonts w:ascii="Gill Sans MT" w:eastAsia="Gill Sans MT" w:hAnsi="Gill Sans MT" w:cs="Arial"/>
                <w:bCs/>
                <w:szCs w:val="24"/>
              </w:rPr>
            </w:pPr>
            <w:r w:rsidRPr="004C1AFD">
              <w:rPr>
                <w:rFonts w:ascii="Gill Sans MT" w:eastAsia="Gill Sans MT" w:hAnsi="Gill Sans MT" w:cs="Arial"/>
                <w:bCs/>
                <w:szCs w:val="24"/>
              </w:rPr>
              <w:t xml:space="preserve">To be physically </w:t>
            </w:r>
            <w:proofErr w:type="gramStart"/>
            <w:r w:rsidRPr="004C1AFD">
              <w:rPr>
                <w:rFonts w:ascii="Gill Sans MT" w:eastAsia="Gill Sans MT" w:hAnsi="Gill Sans MT" w:cs="Arial"/>
                <w:bCs/>
                <w:szCs w:val="24"/>
              </w:rPr>
              <w:t>function</w:t>
            </w:r>
            <w:proofErr w:type="gramEnd"/>
            <w:r w:rsidRPr="004C1AFD">
              <w:rPr>
                <w:rFonts w:ascii="Gill Sans MT" w:eastAsia="Gill Sans MT" w:hAnsi="Gill Sans MT" w:cs="Arial"/>
                <w:bCs/>
                <w:szCs w:val="24"/>
              </w:rPr>
              <w:t xml:space="preserve"> to restrain</w:t>
            </w:r>
          </w:p>
          <w:p w14:paraId="0D216ED6" w14:textId="77777777" w:rsidR="004C1AFD" w:rsidRPr="004C1AFD" w:rsidRDefault="004C1AFD" w:rsidP="004C1AFD">
            <w:pPr>
              <w:pStyle w:val="ListParagraph"/>
              <w:numPr>
                <w:ilvl w:val="0"/>
                <w:numId w:val="36"/>
              </w:numPr>
              <w:jc w:val="both"/>
              <w:rPr>
                <w:rFonts w:ascii="Gill Sans MT" w:eastAsia="Gill Sans MT" w:hAnsi="Gill Sans MT" w:cs="Arial"/>
                <w:bCs/>
                <w:szCs w:val="24"/>
              </w:rPr>
            </w:pPr>
            <w:r w:rsidRPr="004C1AFD">
              <w:rPr>
                <w:rFonts w:ascii="Gill Sans MT" w:eastAsia="Gill Sans MT" w:hAnsi="Gill Sans MT" w:cs="Arial"/>
                <w:bCs/>
                <w:szCs w:val="24"/>
              </w:rPr>
              <w:t>To be available to work unsocial hours including weekends</w:t>
            </w:r>
          </w:p>
          <w:p w14:paraId="310E0F4C" w14:textId="2EBE9F81" w:rsidR="007601D9" w:rsidRPr="00643B81" w:rsidRDefault="004C1AFD" w:rsidP="004C1AFD">
            <w:pPr>
              <w:pStyle w:val="ListParagraph"/>
              <w:numPr>
                <w:ilvl w:val="0"/>
                <w:numId w:val="36"/>
              </w:numPr>
              <w:jc w:val="both"/>
              <w:rPr>
                <w:rFonts w:ascii="Gill Sans MT" w:eastAsia="Gill Sans MT" w:hAnsi="Gill Sans MT" w:cs="Arial"/>
                <w:bCs/>
                <w:szCs w:val="24"/>
              </w:rPr>
            </w:pPr>
            <w:r w:rsidRPr="004C1AFD">
              <w:rPr>
                <w:rFonts w:ascii="Gill Sans MT" w:eastAsia="Gill Sans MT" w:hAnsi="Gill Sans MT" w:cs="Arial"/>
                <w:bCs/>
                <w:szCs w:val="24"/>
              </w:rPr>
              <w:t>To share in sleep-in duties</w:t>
            </w:r>
            <w:r w:rsidRPr="004C1AFD">
              <w:rPr>
                <w:rFonts w:ascii="Gill Sans MT" w:eastAsia="Gill Sans MT" w:hAnsi="Gill Sans MT" w:cs="Arial"/>
                <w:bCs/>
                <w:szCs w:val="24"/>
              </w:rPr>
              <w:t xml:space="preserve"> </w:t>
            </w:r>
          </w:p>
        </w:tc>
        <w:tc>
          <w:tcPr>
            <w:tcW w:w="1946" w:type="dxa"/>
          </w:tcPr>
          <w:p w14:paraId="036D9E65" w14:textId="51CB1FBB" w:rsidR="007601D9" w:rsidRPr="0041456C" w:rsidRDefault="00643B81" w:rsidP="0041456C">
            <w:pPr>
              <w:rPr>
                <w:rFonts w:ascii="Gill Sans MT" w:eastAsia="Gill Sans MT" w:hAnsi="Gill Sans MT"/>
              </w:rPr>
            </w:pPr>
            <w:r>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7951" w14:textId="77777777" w:rsidR="00201300" w:rsidRDefault="00201300" w:rsidP="003E7AA3">
      <w:r>
        <w:separator/>
      </w:r>
    </w:p>
  </w:endnote>
  <w:endnote w:type="continuationSeparator" w:id="0">
    <w:p w14:paraId="4E94E871" w14:textId="77777777" w:rsidR="00201300" w:rsidRDefault="00201300"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27D3" w14:textId="77777777" w:rsidR="00201300" w:rsidRDefault="00201300" w:rsidP="003E7AA3">
      <w:r>
        <w:separator/>
      </w:r>
    </w:p>
  </w:footnote>
  <w:footnote w:type="continuationSeparator" w:id="0">
    <w:p w14:paraId="6920BFDB" w14:textId="77777777" w:rsidR="00201300" w:rsidRDefault="00201300"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44E7B3A" w:rsidR="0041456C" w:rsidRPr="00EE50CC" w:rsidRDefault="004C1AFD" w:rsidP="00816AA1">
                          <w:pPr>
                            <w:pStyle w:val="inner-page-title"/>
                            <w:rPr>
                              <w:caps/>
                            </w:rPr>
                          </w:pPr>
                          <w:r>
                            <w:t>Children and Families</w:t>
                          </w:r>
                          <w:r w:rsidR="006E65A8">
                            <w:t xml:space="preserve">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44E7B3A" w:rsidR="0041456C" w:rsidRPr="00EE50CC" w:rsidRDefault="004C1AFD" w:rsidP="00816AA1">
                    <w:pPr>
                      <w:pStyle w:val="inner-page-title"/>
                      <w:rPr>
                        <w:caps/>
                      </w:rPr>
                    </w:pPr>
                    <w:r>
                      <w:t>Children and Families</w:t>
                    </w:r>
                    <w:r w:rsidR="006E65A8">
                      <w:t xml:space="preserve">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18CC95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01300"/>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C1AFD"/>
    <w:rsid w:val="004D45AF"/>
    <w:rsid w:val="004E4D54"/>
    <w:rsid w:val="00535B0F"/>
    <w:rsid w:val="00563F70"/>
    <w:rsid w:val="0057426C"/>
    <w:rsid w:val="00575873"/>
    <w:rsid w:val="00576A31"/>
    <w:rsid w:val="005815A1"/>
    <w:rsid w:val="00581CA0"/>
    <w:rsid w:val="005E322E"/>
    <w:rsid w:val="00643B81"/>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Woolridge, Becky (Corporate)</cp:lastModifiedBy>
  <cp:revision>2</cp:revision>
  <dcterms:created xsi:type="dcterms:W3CDTF">2022-01-20T10:25:00Z</dcterms:created>
  <dcterms:modified xsi:type="dcterms:W3CDTF">2022-01-20T10:25:00Z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