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5BFA3B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AA17A7">
        <w:t>Commissio</w:t>
      </w:r>
      <w:r w:rsidR="00543F93">
        <w:t xml:space="preserve">ning </w:t>
      </w:r>
      <w:r w:rsidR="008009FF">
        <w:t>Officer</w:t>
      </w:r>
      <w:r>
        <w:br/>
      </w:r>
      <w:r w:rsidR="10F4C3C6">
        <w:t>Grade</w:t>
      </w:r>
      <w:r w:rsidR="60B7468B">
        <w:t xml:space="preserve">: </w:t>
      </w:r>
      <w:r w:rsidR="00586921">
        <w:t>1</w:t>
      </w:r>
      <w:r w:rsidR="00733454">
        <w:t>0</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750084E7" w14:textId="4A02E9C8"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eastAsia="Gill Sans MT"/>
          <w:sz w:val="24"/>
          <w:lang w:val="en-GB"/>
        </w:rPr>
        <w:t xml:space="preserve"> </w:t>
      </w:r>
      <w:r w:rsidRPr="000A78D8">
        <w:rPr>
          <w:rFonts w:ascii="Verdana" w:eastAsia="Calibri" w:hAnsi="Verdana" w:cs="Avenir Roman"/>
          <w:color w:val="000000" w:themeColor="text1"/>
          <w:sz w:val="24"/>
          <w:szCs w:val="24"/>
          <w:lang w:val="en-GB"/>
        </w:rPr>
        <w:t>The structure for Health and Care provides a clear focus on 3 defined areas of work</w:t>
      </w:r>
    </w:p>
    <w:p w14:paraId="2FF796C4"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 xml:space="preserve">Public Health and Prevention   </w:t>
      </w:r>
    </w:p>
    <w:p w14:paraId="485FB8FD"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Adult Social Work and Safeguarding</w:t>
      </w:r>
    </w:p>
    <w:p w14:paraId="1B48AF4F"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Care Commissioning</w:t>
      </w:r>
    </w:p>
    <w:p w14:paraId="3EDD8C16" w14:textId="5922E54C"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 xml:space="preserve">This job plays a key role within the wider Public Health and Prevention, Adult Social Work and Safeguarding and Care Commissioning teams where the focus is to achieve outcomes to meet the needs of people relating to care and public health.  </w:t>
      </w:r>
    </w:p>
    <w:p w14:paraId="2FCEFD31" w14:textId="4BF91E54"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 xml:space="preserve">This post will assist Consultants in Public Health or Lead Commissioners by providing specialist advice and support in all elements of commissioning, needs assessment and service design to achieve better outcomes. Although working to a care group or public health </w:t>
      </w:r>
      <w:proofErr w:type="spellStart"/>
      <w:r w:rsidRPr="000A78D8">
        <w:rPr>
          <w:rFonts w:ascii="Verdana" w:eastAsia="Calibri" w:hAnsi="Verdana" w:cs="Avenir Roman"/>
          <w:color w:val="000000" w:themeColor="text1"/>
          <w:sz w:val="24"/>
          <w:szCs w:val="24"/>
          <w:lang w:val="en-GB"/>
        </w:rPr>
        <w:t>specialism</w:t>
      </w:r>
      <w:proofErr w:type="spellEnd"/>
      <w:r w:rsidRPr="000A78D8">
        <w:rPr>
          <w:rFonts w:ascii="Verdana" w:eastAsia="Calibri" w:hAnsi="Verdana" w:cs="Avenir Roman"/>
          <w:color w:val="000000" w:themeColor="text1"/>
          <w:sz w:val="24"/>
          <w:szCs w:val="24"/>
          <w:lang w:val="en-GB"/>
        </w:rPr>
        <w:t>, the post holder will be expected to be flexible across all care groups and specialisms and ensure that cross cutting issues are identified and developed.</w:t>
      </w:r>
    </w:p>
    <w:p w14:paraId="1FC3286B" w14:textId="12AA0ADB" w:rsidR="00816AA1" w:rsidRDefault="00816AA1" w:rsidP="001F3113">
      <w:pPr>
        <w:pStyle w:val="Body-Bold"/>
      </w:pPr>
      <w:r w:rsidRPr="00816AA1">
        <w:t>Reporting Relationships</w:t>
      </w:r>
    </w:p>
    <w:p w14:paraId="4BE0F073" w14:textId="1DA4E6BD" w:rsidR="000A78D8" w:rsidRPr="000A78D8" w:rsidRDefault="000A78D8" w:rsidP="000A78D8">
      <w:pPr>
        <w:jc w:val="both"/>
        <w:rPr>
          <w:rFonts w:ascii="Verdana" w:eastAsia="Gill Sans MT" w:hAnsi="Verdana" w:cs="Arial"/>
          <w:b/>
          <w:sz w:val="24"/>
          <w:szCs w:val="24"/>
        </w:rPr>
      </w:pPr>
      <w:r w:rsidRPr="000A78D8">
        <w:rPr>
          <w:rFonts w:ascii="Verdana" w:eastAsia="Gill Sans MT" w:hAnsi="Verdana" w:cs="Arial"/>
          <w:b/>
          <w:sz w:val="24"/>
          <w:szCs w:val="24"/>
        </w:rPr>
        <w:t xml:space="preserve">Responsible to: </w:t>
      </w:r>
      <w:r>
        <w:rPr>
          <w:rFonts w:ascii="Verdana" w:eastAsia="Gill Sans MT" w:hAnsi="Verdana" w:cs="Arial"/>
          <w:b/>
          <w:sz w:val="24"/>
          <w:szCs w:val="24"/>
        </w:rPr>
        <w:t xml:space="preserve"> </w:t>
      </w:r>
      <w:r w:rsidR="003F5822">
        <w:rPr>
          <w:rFonts w:ascii="Verdana" w:eastAsia="Gill Sans MT" w:hAnsi="Verdana" w:cs="Arial"/>
          <w:b/>
          <w:sz w:val="24"/>
          <w:szCs w:val="24"/>
        </w:rPr>
        <w:t>Senior Commissioning Manager</w:t>
      </w:r>
    </w:p>
    <w:p w14:paraId="1FCBDDC8" w14:textId="042380BF" w:rsidR="000A78D8" w:rsidRDefault="000A78D8" w:rsidP="000A78D8">
      <w:pPr>
        <w:jc w:val="both"/>
        <w:rPr>
          <w:rFonts w:ascii="Verdana" w:eastAsia="Gill Sans MT" w:hAnsi="Verdana" w:cs="Arial"/>
          <w:b/>
          <w:sz w:val="24"/>
          <w:szCs w:val="24"/>
        </w:rPr>
      </w:pPr>
      <w:r w:rsidRPr="000A78D8">
        <w:rPr>
          <w:rFonts w:ascii="Verdana" w:eastAsia="Gill Sans MT" w:hAnsi="Verdana" w:cs="Arial"/>
          <w:b/>
          <w:sz w:val="24"/>
          <w:szCs w:val="24"/>
        </w:rPr>
        <w:t>Responsible for:  n/a</w:t>
      </w:r>
    </w:p>
    <w:p w14:paraId="14F3A1FA" w14:textId="77777777" w:rsidR="0074581D" w:rsidRPr="0074581D" w:rsidRDefault="0074581D" w:rsidP="0074581D">
      <w:pPr>
        <w:jc w:val="both"/>
        <w:rPr>
          <w:rFonts w:ascii="Verdana" w:eastAsia="Gill Sans MT" w:hAnsi="Verdana" w:cs="Arial"/>
          <w:b/>
          <w:sz w:val="24"/>
          <w:szCs w:val="24"/>
          <w:lang w:val="en-GB"/>
        </w:rPr>
      </w:pPr>
      <w:bookmarkStart w:id="0" w:name="OLE_LINK1"/>
      <w:bookmarkStart w:id="1" w:name="OLE_LINK2"/>
      <w:r w:rsidRPr="0074581D">
        <w:rPr>
          <w:rFonts w:ascii="Verdana" w:eastAsia="Gill Sans MT" w:hAnsi="Verdana" w:cs="Arial"/>
          <w:b/>
          <w:sz w:val="24"/>
          <w:szCs w:val="24"/>
          <w:lang w:val="en-GB"/>
        </w:rPr>
        <w:t xml:space="preserve">About the Role </w:t>
      </w:r>
    </w:p>
    <w:bookmarkEnd w:id="0"/>
    <w:bookmarkEnd w:id="1"/>
    <w:p w14:paraId="6199B216" w14:textId="77777777" w:rsidR="0074581D" w:rsidRPr="0074581D" w:rsidRDefault="0074581D" w:rsidP="0074581D">
      <w:pPr>
        <w:jc w:val="both"/>
        <w:rPr>
          <w:rFonts w:ascii="Verdana" w:eastAsia="Gill Sans MT" w:hAnsi="Verdana" w:cs="Arial"/>
          <w:bCs/>
          <w:sz w:val="24"/>
          <w:szCs w:val="24"/>
          <w:lang w:val="en-GB"/>
        </w:rPr>
      </w:pPr>
      <w:r w:rsidRPr="0074581D">
        <w:rPr>
          <w:rFonts w:ascii="Verdana" w:eastAsia="Gill Sans MT" w:hAnsi="Verdana" w:cs="Arial"/>
          <w:bCs/>
          <w:sz w:val="24"/>
          <w:szCs w:val="24"/>
          <w:lang w:val="en-CA"/>
        </w:rPr>
        <w:t xml:space="preserve">The Commissioning Officer will be required to manage </w:t>
      </w:r>
      <w:proofErr w:type="gramStart"/>
      <w:r w:rsidRPr="0074581D">
        <w:rPr>
          <w:rFonts w:ascii="Verdana" w:eastAsia="Gill Sans MT" w:hAnsi="Verdana" w:cs="Arial"/>
          <w:bCs/>
          <w:sz w:val="24"/>
          <w:szCs w:val="24"/>
          <w:lang w:val="en-CA"/>
        </w:rPr>
        <w:t>short and long term</w:t>
      </w:r>
      <w:proofErr w:type="gramEnd"/>
      <w:r w:rsidRPr="0074581D">
        <w:rPr>
          <w:rFonts w:ascii="Verdana" w:eastAsia="Gill Sans MT" w:hAnsi="Verdana" w:cs="Arial"/>
          <w:bCs/>
          <w:sz w:val="24"/>
          <w:szCs w:val="24"/>
          <w:lang w:val="en-CA"/>
        </w:rPr>
        <w:t xml:space="preserve"> commissioning arrangements and will be required to work with a wide variety of stakeholders and partners in supporting the County Council to </w:t>
      </w:r>
    </w:p>
    <w:p w14:paraId="6051CDA8"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understand the needs of Staffordshire citizens. </w:t>
      </w:r>
    </w:p>
    <w:p w14:paraId="3D4B93CD"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translate those needs into definable outcomes. </w:t>
      </w:r>
    </w:p>
    <w:p w14:paraId="1771FD49"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secure delivery of outcomes within available resources to achieve best value for money; and </w:t>
      </w:r>
    </w:p>
    <w:p w14:paraId="0B0E9CE2"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performance manage the process and outcomes. </w:t>
      </w:r>
    </w:p>
    <w:p w14:paraId="65B575FA" w14:textId="368F7339" w:rsidR="0041456C" w:rsidRDefault="0041456C" w:rsidP="11053D4C">
      <w:pPr>
        <w:pStyle w:val="Body-Bold"/>
        <w:spacing w:line="240" w:lineRule="auto"/>
      </w:pPr>
      <w:r>
        <w:t xml:space="preserve">Key Accountabilities: </w:t>
      </w:r>
    </w:p>
    <w:p w14:paraId="382E36EA"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lastRenderedPageBreak/>
        <w:t xml:space="preserve">Drawing up service specifications, and developing clear quality standards and desired outcomes for services, including those in multi-agency environments, by liaising with SCC colleagues, stakeholders, partner organisations, service users and carers </w:t>
      </w:r>
    </w:p>
    <w:p w14:paraId="5FFD6E78"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To undertake the identification of opportunities for commissioning of a defined sub area of care and support/public health or prevention services</w:t>
      </w:r>
    </w:p>
    <w:p w14:paraId="1883EC08"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Contributing to reports in order to support the decisions of relevant committees and boards ensuring compliance and coherence with overall service objectives</w:t>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p>
    <w:p w14:paraId="18029ABE"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Delivering agreed aspects of the commissioning cycle to support all aspects of programme delivery and meet the agreed needs.</w:t>
      </w:r>
    </w:p>
    <w:p w14:paraId="42D834F9" w14:textId="1087A6FC" w:rsidR="00CB5800" w:rsidRPr="00CB5800" w:rsidRDefault="00CB5800" w:rsidP="00943F8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To assist in the monitoring of financial information and resource allocation.</w:t>
      </w:r>
    </w:p>
    <w:p w14:paraId="7B7502D4"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Working with the Commercial team to agree contractual aims and select preferred providers to deliver intended outcomes.</w:t>
      </w:r>
      <w:r w:rsidRPr="00CB5800">
        <w:rPr>
          <w:rFonts w:ascii="Verdana" w:hAnsi="Verdana"/>
          <w:color w:val="000000" w:themeColor="text1"/>
          <w:sz w:val="24"/>
          <w:szCs w:val="24"/>
          <w:lang w:val="en-GB"/>
        </w:rPr>
        <w:tab/>
      </w:r>
    </w:p>
    <w:p w14:paraId="52FA7F11"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Providing advice, guidance and practical assistance to service providers and users.</w:t>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p>
    <w:p w14:paraId="6EE99959"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 xml:space="preserve">Overseeing and supporting the work of less experienced </w:t>
      </w:r>
      <w:proofErr w:type="gramStart"/>
      <w:r w:rsidRPr="00CB5800">
        <w:rPr>
          <w:rFonts w:ascii="Verdana" w:hAnsi="Verdana"/>
          <w:color w:val="000000" w:themeColor="text1"/>
          <w:sz w:val="24"/>
          <w:szCs w:val="24"/>
          <w:lang w:val="en-GB"/>
        </w:rPr>
        <w:t>staff, and</w:t>
      </w:r>
      <w:proofErr w:type="gramEnd"/>
      <w:r w:rsidRPr="00CB5800">
        <w:rPr>
          <w:rFonts w:ascii="Verdana" w:hAnsi="Verdana"/>
          <w:color w:val="000000" w:themeColor="text1"/>
          <w:sz w:val="24"/>
          <w:szCs w:val="24"/>
          <w:lang w:val="en-GB"/>
        </w:rPr>
        <w:t xml:space="preserve"> support the line manager in their development.</w:t>
      </w:r>
    </w:p>
    <w:p w14:paraId="3AED7B58" w14:textId="6555C7C5"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E311A7" w:rsidRDefault="0041456C" w:rsidP="0041456C">
            <w:pPr>
              <w:keepNext/>
              <w:spacing w:after="0" w:line="240" w:lineRule="auto"/>
              <w:jc w:val="center"/>
              <w:outlineLvl w:val="2"/>
              <w:rPr>
                <w:rFonts w:ascii="Gill Sans MT" w:eastAsia="Gill Sans MT" w:hAnsi="Gill Sans MT" w:cs="Arial"/>
                <w:bCs/>
                <w:sz w:val="20"/>
                <w:szCs w:val="20"/>
                <w:lang w:val="en-GB"/>
              </w:rPr>
            </w:pPr>
            <w:r w:rsidRPr="00E311A7">
              <w:rPr>
                <w:rFonts w:ascii="Gill Sans MT" w:eastAsia="Gill Sans MT" w:hAnsi="Gill Sans MT" w:cs="Arial"/>
                <w:b/>
                <w:bCs/>
                <w:sz w:val="20"/>
                <w:szCs w:val="20"/>
                <w:lang w:val="en-GB"/>
              </w:rPr>
              <w:t>Criteria</w:t>
            </w:r>
          </w:p>
        </w:tc>
        <w:tc>
          <w:tcPr>
            <w:tcW w:w="1946" w:type="dxa"/>
            <w:shd w:val="clear" w:color="auto" w:fill="FFFFFF" w:themeFill="background1"/>
          </w:tcPr>
          <w:p w14:paraId="6CF918C4" w14:textId="77777777" w:rsidR="0041456C" w:rsidRPr="00E311A7" w:rsidRDefault="0041456C" w:rsidP="0041456C">
            <w:pPr>
              <w:jc w:val="center"/>
              <w:rPr>
                <w:rFonts w:ascii="Verdana" w:eastAsia="Gill Sans MT" w:hAnsi="Verdana"/>
                <w:b/>
                <w:sz w:val="20"/>
                <w:szCs w:val="20"/>
              </w:rPr>
            </w:pPr>
            <w:r w:rsidRPr="00E311A7">
              <w:rPr>
                <w:rFonts w:ascii="Verdana" w:eastAsia="Gill Sans MT" w:hAnsi="Verdana"/>
                <w:b/>
                <w:sz w:val="20"/>
                <w:szCs w:val="20"/>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E3C5490" w14:textId="77777777" w:rsidR="0041456C" w:rsidRPr="00F3757D" w:rsidRDefault="2AE77744" w:rsidP="79EE954F">
            <w:pPr>
              <w:pStyle w:val="ListParagraph"/>
              <w:spacing w:after="0" w:line="240" w:lineRule="auto"/>
              <w:ind w:left="0"/>
              <w:jc w:val="both"/>
              <w:rPr>
                <w:rFonts w:ascii="Verdana" w:eastAsia="Gill Sans MT" w:hAnsi="Verdana" w:cs="Gill Sans MT"/>
                <w:b/>
                <w:bCs/>
                <w:sz w:val="24"/>
                <w:szCs w:val="24"/>
              </w:rPr>
            </w:pPr>
            <w:r w:rsidRPr="00F3757D">
              <w:rPr>
                <w:rFonts w:ascii="Verdana" w:eastAsia="Gill Sans MT" w:hAnsi="Verdana" w:cs="Gill Sans MT"/>
                <w:b/>
                <w:bCs/>
                <w:sz w:val="24"/>
                <w:szCs w:val="24"/>
              </w:rPr>
              <w:t>Qualifications</w:t>
            </w:r>
          </w:p>
          <w:p w14:paraId="5910940C" w14:textId="77777777" w:rsidR="000A78D8" w:rsidRPr="00F3757D" w:rsidRDefault="000A78D8" w:rsidP="79EE954F">
            <w:pPr>
              <w:pStyle w:val="ListParagraph"/>
              <w:spacing w:after="0" w:line="240" w:lineRule="auto"/>
              <w:ind w:left="0"/>
              <w:jc w:val="both"/>
              <w:rPr>
                <w:rFonts w:ascii="Verdana" w:eastAsia="Gill Sans MT" w:hAnsi="Verdana" w:cs="Gill Sans MT"/>
                <w:b/>
                <w:bCs/>
                <w:sz w:val="24"/>
                <w:szCs w:val="24"/>
              </w:rPr>
            </w:pPr>
          </w:p>
          <w:p w14:paraId="74AB4191" w14:textId="44E3BAD6" w:rsidR="000A78D8" w:rsidRPr="00F3757D" w:rsidRDefault="00BF27A3" w:rsidP="000A78D8">
            <w:pPr>
              <w:numPr>
                <w:ilvl w:val="0"/>
                <w:numId w:val="14"/>
              </w:numPr>
              <w:spacing w:after="120" w:line="240" w:lineRule="auto"/>
              <w:ind w:left="357" w:hanging="357"/>
              <w:rPr>
                <w:rFonts w:ascii="Verdana" w:hAnsi="Verdana" w:cs="Arial"/>
                <w:sz w:val="24"/>
                <w:szCs w:val="24"/>
                <w:lang w:val="en-GB"/>
              </w:rPr>
            </w:pPr>
            <w:r w:rsidRPr="00F3757D">
              <w:rPr>
                <w:rFonts w:ascii="Verdana" w:hAnsi="Verdana" w:cs="Arial"/>
                <w:sz w:val="24"/>
                <w:szCs w:val="24"/>
              </w:rPr>
              <w:t>Educated to degree/HND standard or possessing an equivalent professional qualification or equivalent by experience.</w:t>
            </w:r>
          </w:p>
        </w:tc>
        <w:tc>
          <w:tcPr>
            <w:tcW w:w="1946" w:type="dxa"/>
          </w:tcPr>
          <w:p w14:paraId="68FF5ED8" w14:textId="77777777" w:rsidR="0041456C" w:rsidRPr="00E311A7" w:rsidRDefault="0041456C" w:rsidP="0020240C">
            <w:pPr>
              <w:spacing w:line="240" w:lineRule="auto"/>
              <w:contextualSpacing/>
              <w:rPr>
                <w:rFonts w:ascii="Verdana" w:eastAsia="Gill Sans MT" w:hAnsi="Verdana"/>
                <w:sz w:val="20"/>
                <w:szCs w:val="20"/>
              </w:rPr>
            </w:pPr>
          </w:p>
          <w:p w14:paraId="55D696C6" w14:textId="77777777" w:rsidR="00FB285C" w:rsidRPr="00FB285C" w:rsidRDefault="00FB285C" w:rsidP="00FB285C">
            <w:pPr>
              <w:jc w:val="center"/>
              <w:rPr>
                <w:rFonts w:ascii="Verdana" w:hAnsi="Verdana"/>
                <w:sz w:val="24"/>
                <w:szCs w:val="24"/>
              </w:rPr>
            </w:pPr>
            <w:r w:rsidRPr="00FB285C">
              <w:rPr>
                <w:rFonts w:ascii="Verdana" w:hAnsi="Verdana"/>
                <w:sz w:val="24"/>
                <w:szCs w:val="24"/>
              </w:rPr>
              <w:t>A/I</w:t>
            </w:r>
          </w:p>
          <w:p w14:paraId="616757FF" w14:textId="77777777" w:rsidR="00E311A7" w:rsidRPr="00E311A7" w:rsidRDefault="00E311A7" w:rsidP="00E311A7">
            <w:pPr>
              <w:jc w:val="center"/>
              <w:rPr>
                <w:rFonts w:ascii="Verdana" w:hAnsi="Verdana"/>
                <w:sz w:val="20"/>
                <w:szCs w:val="20"/>
                <w:lang w:val="en-GB"/>
              </w:rPr>
            </w:pPr>
          </w:p>
          <w:p w14:paraId="4FA5215D" w14:textId="66719417" w:rsidR="0041456C" w:rsidRPr="00E311A7" w:rsidRDefault="0041456C" w:rsidP="00E311A7">
            <w:pPr>
              <w:spacing w:line="240" w:lineRule="auto"/>
              <w:contextualSpacing/>
              <w:jc w:val="center"/>
              <w:rPr>
                <w:rFonts w:ascii="Verdana" w:eastAsia="Gill Sans MT" w:hAnsi="Verdana"/>
                <w:sz w:val="20"/>
                <w:szCs w:val="20"/>
              </w:rPr>
            </w:pPr>
          </w:p>
        </w:tc>
      </w:tr>
      <w:tr w:rsidR="00F3757D" w:rsidRPr="0041456C" w14:paraId="4FFAC253" w14:textId="77777777" w:rsidTr="08DCEEA4">
        <w:trPr>
          <w:trHeight w:val="2426"/>
          <w:jc w:val="center"/>
        </w:trPr>
        <w:tc>
          <w:tcPr>
            <w:tcW w:w="1555" w:type="dxa"/>
          </w:tcPr>
          <w:p w14:paraId="0234D1B6" w14:textId="77777777" w:rsidR="00F3757D" w:rsidRPr="0041456C" w:rsidRDefault="00F3757D" w:rsidP="00F3757D">
            <w:pPr>
              <w:jc w:val="center"/>
              <w:rPr>
                <w:rFonts w:ascii="Gill Sans MT" w:eastAsia="Gill Sans MT" w:hAnsi="Gill Sans MT"/>
              </w:rPr>
            </w:pPr>
          </w:p>
          <w:p w14:paraId="32DBA6AC" w14:textId="77777777" w:rsidR="00F3757D" w:rsidRPr="0041456C" w:rsidRDefault="00F3757D" w:rsidP="00F3757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F3757D" w:rsidRPr="0041456C" w:rsidRDefault="00F3757D" w:rsidP="00F3757D">
            <w:pPr>
              <w:jc w:val="center"/>
              <w:rPr>
                <w:rFonts w:ascii="Gill Sans MT" w:eastAsia="Gill Sans MT" w:hAnsi="Gill Sans MT"/>
              </w:rPr>
            </w:pPr>
          </w:p>
          <w:p w14:paraId="2647E35D" w14:textId="77777777" w:rsidR="00F3757D" w:rsidRPr="0041456C" w:rsidRDefault="00F3757D" w:rsidP="00F3757D">
            <w:pPr>
              <w:jc w:val="center"/>
              <w:rPr>
                <w:rFonts w:ascii="Gill Sans MT" w:eastAsia="Gill Sans MT" w:hAnsi="Gill Sans MT"/>
              </w:rPr>
            </w:pPr>
          </w:p>
          <w:p w14:paraId="2EEA3845" w14:textId="77777777" w:rsidR="00F3757D" w:rsidRPr="0041456C" w:rsidRDefault="00F3757D" w:rsidP="00F3757D">
            <w:pPr>
              <w:jc w:val="center"/>
              <w:rPr>
                <w:rFonts w:ascii="Gill Sans MT" w:eastAsia="Gill Sans MT" w:hAnsi="Gill Sans MT"/>
              </w:rPr>
            </w:pPr>
          </w:p>
          <w:p w14:paraId="6A7D8A37" w14:textId="549C98D7" w:rsidR="00F3757D" w:rsidRPr="0041456C" w:rsidRDefault="00F3757D" w:rsidP="00F3757D">
            <w:pPr>
              <w:jc w:val="center"/>
              <w:rPr>
                <w:rFonts w:ascii="Gill Sans MT" w:eastAsia="Gill Sans MT" w:hAnsi="Gill Sans MT"/>
              </w:rPr>
            </w:pPr>
          </w:p>
          <w:p w14:paraId="6D2C4BB0" w14:textId="77777777" w:rsidR="00F3757D" w:rsidRPr="0041456C" w:rsidRDefault="00F3757D" w:rsidP="00F3757D">
            <w:pPr>
              <w:jc w:val="center"/>
              <w:rPr>
                <w:rFonts w:ascii="Gill Sans MT" w:eastAsia="Gill Sans MT" w:hAnsi="Gill Sans MT"/>
              </w:rPr>
            </w:pPr>
          </w:p>
        </w:tc>
        <w:tc>
          <w:tcPr>
            <w:tcW w:w="7160" w:type="dxa"/>
          </w:tcPr>
          <w:p w14:paraId="31321124" w14:textId="77777777" w:rsidR="00F3757D" w:rsidRPr="00F3757D" w:rsidRDefault="00F3757D" w:rsidP="00F3757D">
            <w:pPr>
              <w:rPr>
                <w:rFonts w:ascii="Verdana" w:eastAsia="Gill Sans MT" w:hAnsi="Verdana" w:cs="Arial"/>
                <w:sz w:val="24"/>
              </w:rPr>
            </w:pPr>
          </w:p>
          <w:p w14:paraId="68C86D6A" w14:textId="77777777" w:rsidR="00F3757D" w:rsidRPr="00F3757D" w:rsidRDefault="00F3757D" w:rsidP="00F3757D">
            <w:pPr>
              <w:pStyle w:val="BodyText2"/>
              <w:spacing w:after="0" w:line="240" w:lineRule="auto"/>
              <w:rPr>
                <w:rFonts w:ascii="Verdana" w:eastAsia="Gill Sans MT" w:hAnsi="Verdana" w:cs="Arial"/>
                <w:b/>
              </w:rPr>
            </w:pPr>
            <w:r w:rsidRPr="00F3757D">
              <w:rPr>
                <w:rFonts w:ascii="Verdana" w:eastAsia="Gill Sans MT" w:hAnsi="Verdana" w:cs="Arial"/>
                <w:b/>
              </w:rPr>
              <w:t>Knowledge and Experience</w:t>
            </w:r>
          </w:p>
          <w:p w14:paraId="6C1A6574" w14:textId="77777777" w:rsidR="00F3757D" w:rsidRPr="00F3757D" w:rsidRDefault="00F3757D" w:rsidP="00F3757D">
            <w:pPr>
              <w:numPr>
                <w:ilvl w:val="0"/>
                <w:numId w:val="18"/>
              </w:numPr>
              <w:autoSpaceDE w:val="0"/>
              <w:autoSpaceDN w:val="0"/>
              <w:adjustRightInd w:val="0"/>
              <w:spacing w:after="120" w:line="240" w:lineRule="auto"/>
              <w:ind w:left="357" w:hanging="357"/>
              <w:rPr>
                <w:rFonts w:ascii="Verdana" w:eastAsia="Gill Sans MT" w:hAnsi="Verdana" w:cs="Arial"/>
                <w:sz w:val="24"/>
              </w:rPr>
            </w:pPr>
            <w:r w:rsidRPr="00F3757D">
              <w:rPr>
                <w:rFonts w:ascii="Verdana" w:eastAsia="Arial" w:hAnsi="Verdana" w:cs="Arial"/>
                <w:sz w:val="24"/>
              </w:rPr>
              <w:t xml:space="preserve">Demonstrable experience and understanding of commissioning services </w:t>
            </w:r>
          </w:p>
          <w:p w14:paraId="4BB30D33" w14:textId="77777777" w:rsidR="00F3757D" w:rsidRPr="00F3757D" w:rsidRDefault="00F3757D" w:rsidP="00F3757D">
            <w:pPr>
              <w:numPr>
                <w:ilvl w:val="0"/>
                <w:numId w:val="18"/>
              </w:numPr>
              <w:autoSpaceDE w:val="0"/>
              <w:autoSpaceDN w:val="0"/>
              <w:adjustRightInd w:val="0"/>
              <w:spacing w:after="120" w:line="240" w:lineRule="auto"/>
              <w:ind w:left="357" w:hanging="357"/>
              <w:rPr>
                <w:rFonts w:ascii="Verdana" w:eastAsia="Gill Sans MT" w:hAnsi="Verdana" w:cs="Arial"/>
                <w:sz w:val="24"/>
              </w:rPr>
            </w:pPr>
            <w:r w:rsidRPr="00F3757D">
              <w:rPr>
                <w:rFonts w:ascii="Verdana" w:eastAsia="Arial" w:hAnsi="Verdana" w:cs="Arial"/>
                <w:sz w:val="24"/>
              </w:rPr>
              <w:t>An understanding of the financial constraints facing the service areas</w:t>
            </w:r>
          </w:p>
          <w:p w14:paraId="2F0E3352" w14:textId="77777777" w:rsidR="00F3757D" w:rsidRPr="00F3757D" w:rsidRDefault="00F3757D" w:rsidP="00F3757D">
            <w:pPr>
              <w:widowControl w:val="0"/>
              <w:numPr>
                <w:ilvl w:val="0"/>
                <w:numId w:val="18"/>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Computer literate with an appreciation of the use and application of data collection and analysis techniques</w:t>
            </w:r>
          </w:p>
          <w:p w14:paraId="4ED3A9CE"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 xml:space="preserve">Experience in negotiating service delivery </w:t>
            </w:r>
            <w:r w:rsidRPr="00F3757D">
              <w:rPr>
                <w:rFonts w:ascii="Verdana" w:eastAsia="Gill Sans MT" w:hAnsi="Verdana" w:cs="Arial"/>
                <w:sz w:val="24"/>
              </w:rPr>
              <w:lastRenderedPageBreak/>
              <w:t>requirements</w:t>
            </w:r>
          </w:p>
          <w:p w14:paraId="29261596"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Experience of contract setting processes</w:t>
            </w:r>
          </w:p>
          <w:p w14:paraId="3516D57D"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Able to demonstrate an ability to use resources flexibly and creatively within a contractual framework</w:t>
            </w:r>
          </w:p>
          <w:p w14:paraId="186B0F1C" w14:textId="4808E684" w:rsidR="00F3757D" w:rsidRPr="00F3757D" w:rsidRDefault="00F3757D" w:rsidP="00F3757D">
            <w:pPr>
              <w:numPr>
                <w:ilvl w:val="0"/>
                <w:numId w:val="15"/>
              </w:numPr>
              <w:autoSpaceDE w:val="0"/>
              <w:autoSpaceDN w:val="0"/>
              <w:adjustRightInd w:val="0"/>
              <w:spacing w:after="120" w:line="240" w:lineRule="auto"/>
              <w:rPr>
                <w:rFonts w:ascii="Verdana" w:hAnsi="Verdana" w:cs="Arial"/>
                <w:sz w:val="20"/>
                <w:szCs w:val="20"/>
                <w:lang w:val="en-GB"/>
              </w:rPr>
            </w:pPr>
            <w:r w:rsidRPr="00F3757D">
              <w:rPr>
                <w:rFonts w:ascii="Verdana" w:eastAsia="Gill Sans MT" w:hAnsi="Verdana" w:cs="Arial"/>
                <w:sz w:val="24"/>
              </w:rPr>
              <w:t>Experience of resource management through coaching or motivation of staff and colleagues</w:t>
            </w:r>
          </w:p>
        </w:tc>
        <w:tc>
          <w:tcPr>
            <w:tcW w:w="1946" w:type="dxa"/>
          </w:tcPr>
          <w:p w14:paraId="18802215" w14:textId="77777777" w:rsidR="00F3757D" w:rsidRPr="00F3757D" w:rsidRDefault="00F3757D" w:rsidP="00F3757D">
            <w:pPr>
              <w:jc w:val="center"/>
              <w:rPr>
                <w:rFonts w:ascii="Verdana" w:eastAsia="Gill Sans MT" w:hAnsi="Verdana" w:cs="Arial"/>
                <w:sz w:val="24"/>
              </w:rPr>
            </w:pPr>
          </w:p>
          <w:p w14:paraId="1D488EC8" w14:textId="77777777" w:rsidR="00F2458A" w:rsidRDefault="00F2458A" w:rsidP="00F3757D">
            <w:pPr>
              <w:jc w:val="center"/>
              <w:rPr>
                <w:rFonts w:ascii="Verdana" w:eastAsia="Gill Sans MT" w:hAnsi="Verdana" w:cs="Arial"/>
                <w:sz w:val="24"/>
              </w:rPr>
            </w:pPr>
          </w:p>
          <w:p w14:paraId="02C86D76" w14:textId="7F6693FF"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75017F8E"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746970F"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A5DC902" w14:textId="77777777" w:rsidR="00F2458A" w:rsidRDefault="00F2458A" w:rsidP="00F3757D">
            <w:pPr>
              <w:jc w:val="center"/>
              <w:rPr>
                <w:rFonts w:ascii="Verdana" w:eastAsia="Gill Sans MT" w:hAnsi="Verdana" w:cs="Arial"/>
                <w:sz w:val="24"/>
              </w:rPr>
            </w:pPr>
          </w:p>
          <w:p w14:paraId="6CC98EAE" w14:textId="61991F9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lastRenderedPageBreak/>
              <w:t>A/I</w:t>
            </w:r>
          </w:p>
          <w:p w14:paraId="6A7A0FD4"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04A28EFF"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73459890" w14:textId="25F430FE" w:rsidR="00F3757D" w:rsidRPr="00F3757D" w:rsidRDefault="00F3757D" w:rsidP="00F3757D">
            <w:pPr>
              <w:jc w:val="center"/>
              <w:rPr>
                <w:rFonts w:ascii="Verdana" w:hAnsi="Verdana" w:cs="Arial"/>
                <w:sz w:val="20"/>
                <w:szCs w:val="20"/>
                <w:lang w:val="en-GB"/>
              </w:rPr>
            </w:pPr>
            <w:r w:rsidRPr="00F3757D">
              <w:rPr>
                <w:rFonts w:ascii="Verdana" w:eastAsia="Gill Sans MT" w:hAnsi="Verdana" w:cs="Arial"/>
                <w:sz w:val="24"/>
              </w:rPr>
              <w:t>A/I</w:t>
            </w:r>
          </w:p>
        </w:tc>
      </w:tr>
      <w:tr w:rsidR="00F3757D" w:rsidRPr="0041456C" w14:paraId="7FE7E04A" w14:textId="77777777" w:rsidTr="08DCEEA4">
        <w:trPr>
          <w:jc w:val="center"/>
        </w:trPr>
        <w:tc>
          <w:tcPr>
            <w:tcW w:w="1555" w:type="dxa"/>
          </w:tcPr>
          <w:p w14:paraId="61FDC749" w14:textId="77777777" w:rsidR="00F3757D" w:rsidRPr="0041456C" w:rsidRDefault="00F3757D" w:rsidP="00F3757D">
            <w:pPr>
              <w:jc w:val="center"/>
              <w:rPr>
                <w:rFonts w:ascii="Gill Sans MT" w:eastAsia="Gill Sans MT" w:hAnsi="Gill Sans MT"/>
                <w:b/>
              </w:rPr>
            </w:pPr>
          </w:p>
          <w:p w14:paraId="5FD33341" w14:textId="77777777" w:rsidR="00F3757D" w:rsidRPr="0041456C" w:rsidRDefault="00F3757D" w:rsidP="00F3757D">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4083566" w14:textId="77777777" w:rsidR="00F3757D" w:rsidRPr="00F3757D" w:rsidRDefault="00F3757D" w:rsidP="00F3757D">
            <w:pPr>
              <w:rPr>
                <w:rFonts w:ascii="Verdana" w:eastAsia="Gill Sans MT" w:hAnsi="Verdana" w:cs="Arial"/>
                <w:b/>
                <w:sz w:val="24"/>
              </w:rPr>
            </w:pPr>
          </w:p>
          <w:p w14:paraId="04C70839" w14:textId="6AC0C63F" w:rsidR="00F3757D" w:rsidRPr="00F3757D" w:rsidRDefault="00F3757D" w:rsidP="00F3757D">
            <w:pPr>
              <w:rPr>
                <w:rFonts w:ascii="Verdana" w:eastAsia="Gill Sans MT" w:hAnsi="Verdana" w:cs="Arial"/>
                <w:sz w:val="24"/>
              </w:rPr>
            </w:pPr>
            <w:r w:rsidRPr="00F3757D">
              <w:rPr>
                <w:rFonts w:ascii="Verdana" w:eastAsia="Gill Sans MT" w:hAnsi="Verdana" w:cs="Arial"/>
                <w:b/>
                <w:sz w:val="24"/>
              </w:rPr>
              <w:t>Skills</w:t>
            </w:r>
          </w:p>
          <w:p w14:paraId="629322CF" w14:textId="77777777" w:rsidR="00F3757D" w:rsidRPr="00F3757D" w:rsidRDefault="00F3757D" w:rsidP="00F3757D">
            <w:pPr>
              <w:widowControl w:val="0"/>
              <w:numPr>
                <w:ilvl w:val="0"/>
                <w:numId w:val="19"/>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Good organizational skills and the ability to work under pressure.</w:t>
            </w:r>
          </w:p>
          <w:p w14:paraId="41AB5091" w14:textId="77777777" w:rsidR="00F3757D" w:rsidRPr="00F3757D" w:rsidRDefault="00F3757D" w:rsidP="00F3757D">
            <w:pPr>
              <w:widowControl w:val="0"/>
              <w:numPr>
                <w:ilvl w:val="0"/>
                <w:numId w:val="19"/>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 xml:space="preserve">Excellent communication, </w:t>
            </w:r>
            <w:proofErr w:type="gramStart"/>
            <w:r w:rsidRPr="00F3757D">
              <w:rPr>
                <w:rFonts w:ascii="Verdana" w:eastAsia="Arial" w:hAnsi="Verdana" w:cs="Arial"/>
                <w:sz w:val="24"/>
              </w:rPr>
              <w:t>negotiation</w:t>
            </w:r>
            <w:proofErr w:type="gramEnd"/>
            <w:r w:rsidRPr="00F3757D">
              <w:rPr>
                <w:rFonts w:ascii="Verdana" w:eastAsia="Arial" w:hAnsi="Verdana" w:cs="Arial"/>
                <w:sz w:val="24"/>
              </w:rPr>
              <w:t xml:space="preserve"> and interpersonal skills at all levels, and with stakeholders.</w:t>
            </w:r>
          </w:p>
          <w:p w14:paraId="643E9DB2" w14:textId="77777777" w:rsidR="00F3757D" w:rsidRPr="00F3757D" w:rsidRDefault="00F3757D" w:rsidP="00F3757D">
            <w:pPr>
              <w:numPr>
                <w:ilvl w:val="0"/>
                <w:numId w:val="19"/>
              </w:numPr>
              <w:spacing w:after="120" w:line="240" w:lineRule="auto"/>
              <w:rPr>
                <w:rFonts w:ascii="Verdana" w:eastAsia="Gill Sans MT" w:hAnsi="Verdana" w:cs="Arial"/>
                <w:sz w:val="24"/>
              </w:rPr>
            </w:pPr>
            <w:r w:rsidRPr="00F3757D">
              <w:rPr>
                <w:rFonts w:ascii="Verdana" w:eastAsia="Gill Sans MT" w:hAnsi="Verdana" w:cs="Arial"/>
                <w:sz w:val="24"/>
              </w:rPr>
              <w:t>Ability to understand and interpret strategic planning interventions</w:t>
            </w:r>
          </w:p>
          <w:p w14:paraId="0EFD44B0" w14:textId="51349965" w:rsidR="00F3757D" w:rsidRPr="00F3757D" w:rsidRDefault="00F3757D" w:rsidP="00F3757D">
            <w:pPr>
              <w:numPr>
                <w:ilvl w:val="0"/>
                <w:numId w:val="15"/>
              </w:numPr>
              <w:autoSpaceDE w:val="0"/>
              <w:autoSpaceDN w:val="0"/>
              <w:adjustRightInd w:val="0"/>
              <w:spacing w:after="120" w:line="240" w:lineRule="auto"/>
              <w:rPr>
                <w:rFonts w:ascii="Verdana" w:hAnsi="Verdana" w:cs="Arial"/>
                <w:sz w:val="20"/>
                <w:szCs w:val="20"/>
                <w:lang w:val="en-GB"/>
              </w:rPr>
            </w:pPr>
            <w:r w:rsidRPr="00F3757D">
              <w:rPr>
                <w:rFonts w:ascii="Verdana" w:eastAsia="Gill Sans MT" w:hAnsi="Verdana" w:cs="Arial"/>
                <w:sz w:val="24"/>
              </w:rPr>
              <w:t>Commitment to ongoing personal development</w:t>
            </w:r>
          </w:p>
        </w:tc>
        <w:tc>
          <w:tcPr>
            <w:tcW w:w="1946" w:type="dxa"/>
          </w:tcPr>
          <w:p w14:paraId="69ED8876" w14:textId="77777777" w:rsidR="00F3757D" w:rsidRPr="00F3757D" w:rsidRDefault="00F3757D" w:rsidP="00F3757D">
            <w:pPr>
              <w:jc w:val="center"/>
              <w:rPr>
                <w:rFonts w:ascii="Verdana" w:eastAsia="Gill Sans MT" w:hAnsi="Verdana" w:cs="Arial"/>
                <w:sz w:val="24"/>
              </w:rPr>
            </w:pPr>
          </w:p>
          <w:p w14:paraId="58990FBA" w14:textId="77777777" w:rsidR="00F3757D" w:rsidRPr="00F3757D" w:rsidRDefault="00F3757D" w:rsidP="00F3757D">
            <w:pPr>
              <w:jc w:val="center"/>
              <w:rPr>
                <w:rFonts w:ascii="Verdana" w:eastAsia="Gill Sans MT" w:hAnsi="Verdana" w:cs="Arial"/>
                <w:sz w:val="24"/>
              </w:rPr>
            </w:pPr>
          </w:p>
          <w:p w14:paraId="45896AB9" w14:textId="0AF533D0" w:rsid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5C906422"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2A5E564D" w14:textId="77777777" w:rsidR="00F3757D" w:rsidRPr="00F3757D" w:rsidRDefault="00F3757D" w:rsidP="00F3757D">
            <w:pPr>
              <w:jc w:val="center"/>
              <w:rPr>
                <w:rFonts w:ascii="Verdana" w:eastAsia="Gill Sans MT" w:hAnsi="Verdana" w:cs="Arial"/>
                <w:sz w:val="24"/>
              </w:rPr>
            </w:pPr>
          </w:p>
          <w:p w14:paraId="245DC4D7"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2D3E426C"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1C6BA5A" w14:textId="1C50EF97" w:rsidR="00F3757D" w:rsidRPr="00F3757D" w:rsidRDefault="00F3757D" w:rsidP="00F3757D">
            <w:pPr>
              <w:spacing w:line="240" w:lineRule="auto"/>
              <w:contextualSpacing/>
              <w:jc w:val="center"/>
              <w:rPr>
                <w:rFonts w:ascii="Verdana" w:eastAsia="Gill Sans MT" w:hAnsi="Verdana"/>
                <w:sz w:val="20"/>
                <w:szCs w:val="20"/>
              </w:rPr>
            </w:pP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3FCF" w14:textId="77777777" w:rsidR="003F7FF8" w:rsidRDefault="003F7FF8" w:rsidP="003E7AA3">
      <w:pPr>
        <w:spacing w:after="0" w:line="240" w:lineRule="auto"/>
      </w:pPr>
      <w:r>
        <w:separator/>
      </w:r>
    </w:p>
  </w:endnote>
  <w:endnote w:type="continuationSeparator" w:id="0">
    <w:p w14:paraId="11C7583E" w14:textId="77777777" w:rsidR="003F7FF8" w:rsidRDefault="003F7FF8" w:rsidP="003E7AA3">
      <w:pPr>
        <w:spacing w:after="0" w:line="240" w:lineRule="auto"/>
      </w:pPr>
      <w:r>
        <w:continuationSeparator/>
      </w:r>
    </w:p>
  </w:endnote>
  <w:endnote w:type="continuationNotice" w:id="1">
    <w:p w14:paraId="7DAD8184" w14:textId="77777777" w:rsidR="003F7FF8" w:rsidRDefault="003F7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7420" w14:textId="77777777" w:rsidR="003F7FF8" w:rsidRDefault="003F7FF8" w:rsidP="003E7AA3">
      <w:pPr>
        <w:spacing w:after="0" w:line="240" w:lineRule="auto"/>
      </w:pPr>
      <w:r>
        <w:separator/>
      </w:r>
    </w:p>
  </w:footnote>
  <w:footnote w:type="continuationSeparator" w:id="0">
    <w:p w14:paraId="3F5C0F57" w14:textId="77777777" w:rsidR="003F7FF8" w:rsidRDefault="003F7FF8" w:rsidP="003E7AA3">
      <w:pPr>
        <w:spacing w:after="0" w:line="240" w:lineRule="auto"/>
      </w:pPr>
      <w:r>
        <w:continuationSeparator/>
      </w:r>
    </w:p>
  </w:footnote>
  <w:footnote w:type="continuationNotice" w:id="1">
    <w:p w14:paraId="2F3F4B5E" w14:textId="77777777" w:rsidR="003F7FF8" w:rsidRDefault="003F7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0F9CC933" w:rsidR="0041456C" w:rsidRDefault="00460688" w:rsidP="00EE50CC">
    <w:r>
      <w:rPr>
        <w:noProof/>
      </w:rPr>
      <mc:AlternateContent>
        <mc:Choice Requires="wps">
          <w:drawing>
            <wp:anchor distT="45720" distB="45720" distL="114300" distR="114300" simplePos="0" relativeHeight="251659264" behindDoc="0" locked="0" layoutInCell="1" allowOverlap="1" wp14:anchorId="7F3A27DA" wp14:editId="20781029">
              <wp:simplePos x="0" y="0"/>
              <wp:positionH relativeFrom="column">
                <wp:posOffset>3185160</wp:posOffset>
              </wp:positionH>
              <wp:positionV relativeFrom="paragraph">
                <wp:posOffset>266065</wp:posOffset>
              </wp:positionV>
              <wp:extent cx="3238500" cy="4857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85775"/>
                      </a:xfrm>
                      <a:prstGeom prst="rect">
                        <a:avLst/>
                      </a:prstGeom>
                      <a:noFill/>
                      <a:ln w="9525">
                        <a:noFill/>
                        <a:miter lim="800000"/>
                        <a:headEnd/>
                        <a:tailEnd/>
                      </a:ln>
                    </wps:spPr>
                    <wps:txbx>
                      <w:txbxContent>
                        <w:p w14:paraId="1663A4A4" w14:textId="6A8EF007" w:rsidR="0041456C" w:rsidRPr="00EE50CC" w:rsidRDefault="00460688" w:rsidP="00460688">
                          <w:pPr>
                            <w:pStyle w:val="inner-page-title"/>
                            <w:jc w:val="left"/>
                            <w:rPr>
                              <w:caps/>
                            </w:rPr>
                          </w:pPr>
                          <w:r>
                            <w:t>Health and Care, Care Commissioning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8pt;margin-top:20.95pt;width:25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" filled="f" stroked="f">
              <v:textbox inset="0,0,0,0">
                <w:txbxContent>
                  <w:p w14:paraId="1663A4A4" w14:textId="6A8EF007" w:rsidR="0041456C" w:rsidRPr="00EE50CC" w:rsidRDefault="00460688" w:rsidP="00460688">
                    <w:pPr>
                      <w:pStyle w:val="inner-page-title"/>
                      <w:jc w:val="left"/>
                      <w:rPr>
                        <w:caps/>
                      </w:rPr>
                    </w:pPr>
                    <w:r>
                      <w:t>Health and Care, Care Commissioning</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022695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67"/>
    <w:multiLevelType w:val="hybridMultilevel"/>
    <w:tmpl w:val="EEDC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00B37"/>
    <w:multiLevelType w:val="multilevel"/>
    <w:tmpl w:val="D5F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DE0EDE"/>
    <w:multiLevelType w:val="hybridMultilevel"/>
    <w:tmpl w:val="2A58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52809"/>
    <w:multiLevelType w:val="hybridMultilevel"/>
    <w:tmpl w:val="3954DB84"/>
    <w:lvl w:ilvl="0" w:tplc="1AEC2D9A">
      <w:start w:val="1"/>
      <w:numFmt w:val="bullet"/>
      <w:lvlText w:val="·"/>
      <w:lvlJc w:val="left"/>
      <w:pPr>
        <w:ind w:left="720" w:hanging="360"/>
      </w:pPr>
      <w:rPr>
        <w:rFonts w:ascii="Symbol" w:hAnsi="Symbol" w:hint="default"/>
      </w:rPr>
    </w:lvl>
    <w:lvl w:ilvl="1" w:tplc="D294F8D8">
      <w:start w:val="1"/>
      <w:numFmt w:val="bullet"/>
      <w:lvlText w:val="o"/>
      <w:lvlJc w:val="left"/>
      <w:pPr>
        <w:ind w:left="1440" w:hanging="360"/>
      </w:pPr>
      <w:rPr>
        <w:rFonts w:ascii="Courier New" w:hAnsi="Courier New" w:hint="default"/>
      </w:rPr>
    </w:lvl>
    <w:lvl w:ilvl="2" w:tplc="13CE1BA8">
      <w:start w:val="1"/>
      <w:numFmt w:val="bullet"/>
      <w:lvlText w:val=""/>
      <w:lvlJc w:val="left"/>
      <w:pPr>
        <w:ind w:left="2160" w:hanging="360"/>
      </w:pPr>
      <w:rPr>
        <w:rFonts w:ascii="Wingdings" w:hAnsi="Wingdings" w:hint="default"/>
      </w:rPr>
    </w:lvl>
    <w:lvl w:ilvl="3" w:tplc="6994C81E">
      <w:start w:val="1"/>
      <w:numFmt w:val="bullet"/>
      <w:lvlText w:val=""/>
      <w:lvlJc w:val="left"/>
      <w:pPr>
        <w:ind w:left="2880" w:hanging="360"/>
      </w:pPr>
      <w:rPr>
        <w:rFonts w:ascii="Symbol" w:hAnsi="Symbol" w:hint="default"/>
      </w:rPr>
    </w:lvl>
    <w:lvl w:ilvl="4" w:tplc="CA688D48">
      <w:start w:val="1"/>
      <w:numFmt w:val="bullet"/>
      <w:lvlText w:val="o"/>
      <w:lvlJc w:val="left"/>
      <w:pPr>
        <w:ind w:left="3600" w:hanging="360"/>
      </w:pPr>
      <w:rPr>
        <w:rFonts w:ascii="Courier New" w:hAnsi="Courier New" w:hint="default"/>
      </w:rPr>
    </w:lvl>
    <w:lvl w:ilvl="5" w:tplc="863AF542">
      <w:start w:val="1"/>
      <w:numFmt w:val="bullet"/>
      <w:lvlText w:val=""/>
      <w:lvlJc w:val="left"/>
      <w:pPr>
        <w:ind w:left="4320" w:hanging="360"/>
      </w:pPr>
      <w:rPr>
        <w:rFonts w:ascii="Wingdings" w:hAnsi="Wingdings" w:hint="default"/>
      </w:rPr>
    </w:lvl>
    <w:lvl w:ilvl="6" w:tplc="6D3299EA">
      <w:start w:val="1"/>
      <w:numFmt w:val="bullet"/>
      <w:lvlText w:val=""/>
      <w:lvlJc w:val="left"/>
      <w:pPr>
        <w:ind w:left="5040" w:hanging="360"/>
      </w:pPr>
      <w:rPr>
        <w:rFonts w:ascii="Symbol" w:hAnsi="Symbol" w:hint="default"/>
      </w:rPr>
    </w:lvl>
    <w:lvl w:ilvl="7" w:tplc="1B8AD570">
      <w:start w:val="1"/>
      <w:numFmt w:val="bullet"/>
      <w:lvlText w:val="o"/>
      <w:lvlJc w:val="left"/>
      <w:pPr>
        <w:ind w:left="5760" w:hanging="360"/>
      </w:pPr>
      <w:rPr>
        <w:rFonts w:ascii="Courier New" w:hAnsi="Courier New" w:hint="default"/>
      </w:rPr>
    </w:lvl>
    <w:lvl w:ilvl="8" w:tplc="B520122E">
      <w:start w:val="1"/>
      <w:numFmt w:val="bullet"/>
      <w:lvlText w:val=""/>
      <w:lvlJc w:val="left"/>
      <w:pPr>
        <w:ind w:left="6480" w:hanging="360"/>
      </w:pPr>
      <w:rPr>
        <w:rFonts w:ascii="Wingdings" w:hAnsi="Wingdings" w:hint="default"/>
      </w:rPr>
    </w:lvl>
  </w:abstractNum>
  <w:num w:numId="1" w16cid:durableId="18362288">
    <w:abstractNumId w:val="19"/>
  </w:num>
  <w:num w:numId="2" w16cid:durableId="891041914">
    <w:abstractNumId w:val="6"/>
  </w:num>
  <w:num w:numId="3" w16cid:durableId="728236464">
    <w:abstractNumId w:val="5"/>
  </w:num>
  <w:num w:numId="4" w16cid:durableId="1993630756">
    <w:abstractNumId w:val="17"/>
  </w:num>
  <w:num w:numId="5" w16cid:durableId="1617520064">
    <w:abstractNumId w:val="2"/>
  </w:num>
  <w:num w:numId="6" w16cid:durableId="547954181">
    <w:abstractNumId w:val="14"/>
  </w:num>
  <w:num w:numId="7" w16cid:durableId="2091805472">
    <w:abstractNumId w:val="11"/>
  </w:num>
  <w:num w:numId="8" w16cid:durableId="1743259790">
    <w:abstractNumId w:val="18"/>
  </w:num>
  <w:num w:numId="9" w16cid:durableId="406659715">
    <w:abstractNumId w:val="7"/>
  </w:num>
  <w:num w:numId="10" w16cid:durableId="1571160846">
    <w:abstractNumId w:val="1"/>
  </w:num>
  <w:num w:numId="11" w16cid:durableId="582493159">
    <w:abstractNumId w:val="16"/>
  </w:num>
  <w:num w:numId="12" w16cid:durableId="1575164565">
    <w:abstractNumId w:val="15"/>
  </w:num>
  <w:num w:numId="13" w16cid:durableId="354963180">
    <w:abstractNumId w:val="0"/>
  </w:num>
  <w:num w:numId="14" w16cid:durableId="1506284440">
    <w:abstractNumId w:val="8"/>
  </w:num>
  <w:num w:numId="15" w16cid:durableId="1459186031">
    <w:abstractNumId w:val="3"/>
  </w:num>
  <w:num w:numId="16" w16cid:durableId="290401206">
    <w:abstractNumId w:val="10"/>
  </w:num>
  <w:num w:numId="17" w16cid:durableId="664632619">
    <w:abstractNumId w:val="9"/>
  </w:num>
  <w:num w:numId="18" w16cid:durableId="1692409779">
    <w:abstractNumId w:val="13"/>
  </w:num>
  <w:num w:numId="19" w16cid:durableId="1392381915">
    <w:abstractNumId w:val="12"/>
  </w:num>
  <w:num w:numId="20" w16cid:durableId="2045321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39A4"/>
    <w:rsid w:val="0004578C"/>
    <w:rsid w:val="000A78D8"/>
    <w:rsid w:val="00141D89"/>
    <w:rsid w:val="001448B2"/>
    <w:rsid w:val="001667C8"/>
    <w:rsid w:val="001A15EA"/>
    <w:rsid w:val="001F3113"/>
    <w:rsid w:val="0020240C"/>
    <w:rsid w:val="00213480"/>
    <w:rsid w:val="00261654"/>
    <w:rsid w:val="00265281"/>
    <w:rsid w:val="002C6AAE"/>
    <w:rsid w:val="002D413B"/>
    <w:rsid w:val="00316CA7"/>
    <w:rsid w:val="003E7AA3"/>
    <w:rsid w:val="003F50AB"/>
    <w:rsid w:val="003F5822"/>
    <w:rsid w:val="003F7FF8"/>
    <w:rsid w:val="0041456C"/>
    <w:rsid w:val="00460688"/>
    <w:rsid w:val="00465664"/>
    <w:rsid w:val="00535B0F"/>
    <w:rsid w:val="00543F93"/>
    <w:rsid w:val="00586921"/>
    <w:rsid w:val="00671CC9"/>
    <w:rsid w:val="00733454"/>
    <w:rsid w:val="0074581D"/>
    <w:rsid w:val="00770B6C"/>
    <w:rsid w:val="00797BFE"/>
    <w:rsid w:val="007A6708"/>
    <w:rsid w:val="008009FF"/>
    <w:rsid w:val="0080309F"/>
    <w:rsid w:val="00811059"/>
    <w:rsid w:val="00816AA1"/>
    <w:rsid w:val="00872B70"/>
    <w:rsid w:val="008B4F3B"/>
    <w:rsid w:val="009446C3"/>
    <w:rsid w:val="0096580A"/>
    <w:rsid w:val="00977EA1"/>
    <w:rsid w:val="0099470D"/>
    <w:rsid w:val="009E1DF2"/>
    <w:rsid w:val="00A34FE9"/>
    <w:rsid w:val="00A645DA"/>
    <w:rsid w:val="00AA17A7"/>
    <w:rsid w:val="00AD6686"/>
    <w:rsid w:val="00B06BEE"/>
    <w:rsid w:val="00B9509B"/>
    <w:rsid w:val="00BB233B"/>
    <w:rsid w:val="00BF27A3"/>
    <w:rsid w:val="00C20BE9"/>
    <w:rsid w:val="00C86E78"/>
    <w:rsid w:val="00CB5800"/>
    <w:rsid w:val="00CD038B"/>
    <w:rsid w:val="00CF33CD"/>
    <w:rsid w:val="00D71D7C"/>
    <w:rsid w:val="00DF0A92"/>
    <w:rsid w:val="00E311A7"/>
    <w:rsid w:val="00EC0C4E"/>
    <w:rsid w:val="00EE50CC"/>
    <w:rsid w:val="00EE7108"/>
    <w:rsid w:val="00F2458A"/>
    <w:rsid w:val="00F3757D"/>
    <w:rsid w:val="00F72F3D"/>
    <w:rsid w:val="00FB285C"/>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0A78D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A78D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947</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Cororan, Rosanne  (H&amp;C)</cp:lastModifiedBy>
  <cp:revision>2</cp:revision>
  <dcterms:created xsi:type="dcterms:W3CDTF">2023-02-14T10:52:00Z</dcterms:created>
  <dcterms:modified xsi:type="dcterms:W3CDTF">2023-02-14T10:52:00Z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