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D760" w14:textId="77777777" w:rsidR="00FA3E46" w:rsidRPr="00DC654B" w:rsidRDefault="001F3113" w:rsidP="00502517">
      <w:pPr>
        <w:pStyle w:val="JobTitle"/>
        <w:tabs>
          <w:tab w:val="left" w:pos="2385"/>
        </w:tabs>
        <w:jc w:val="both"/>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6552A8A7" w14:textId="54633977" w:rsidR="00AE336D" w:rsidRPr="00AE336D" w:rsidRDefault="00AE336D" w:rsidP="00502517">
      <w:pPr>
        <w:pStyle w:val="JobTitle"/>
        <w:tabs>
          <w:tab w:val="left" w:pos="2385"/>
        </w:tabs>
        <w:jc w:val="both"/>
        <w:rPr>
          <w:b/>
          <w:bCs/>
          <w:sz w:val="36"/>
          <w:szCs w:val="36"/>
        </w:rPr>
      </w:pPr>
      <w:r w:rsidRPr="00AE336D">
        <w:rPr>
          <w:b/>
          <w:bCs/>
          <w:sz w:val="36"/>
          <w:szCs w:val="36"/>
        </w:rPr>
        <w:t>Legal Business Officer (</w:t>
      </w:r>
      <w:r w:rsidR="00545666">
        <w:rPr>
          <w:b/>
          <w:bCs/>
          <w:sz w:val="36"/>
          <w:szCs w:val="36"/>
        </w:rPr>
        <w:t>Casework</w:t>
      </w:r>
      <w:r w:rsidRPr="00AE336D">
        <w:rPr>
          <w:b/>
          <w:bCs/>
          <w:sz w:val="36"/>
          <w:szCs w:val="36"/>
        </w:rPr>
        <w:t>)</w:t>
      </w:r>
    </w:p>
    <w:p w14:paraId="3151C0DC" w14:textId="62AB6BC7" w:rsidR="00816AA1" w:rsidRPr="00DC654B" w:rsidRDefault="10F4C3C6" w:rsidP="00502517">
      <w:pPr>
        <w:pStyle w:val="JobTitle"/>
        <w:tabs>
          <w:tab w:val="left" w:pos="2385"/>
        </w:tabs>
        <w:jc w:val="both"/>
        <w:rPr>
          <w:sz w:val="36"/>
          <w:szCs w:val="36"/>
        </w:rPr>
      </w:pPr>
      <w:r w:rsidRPr="00DC654B">
        <w:rPr>
          <w:sz w:val="36"/>
          <w:szCs w:val="36"/>
        </w:rPr>
        <w:t>Grade</w:t>
      </w:r>
      <w:r w:rsidR="60B7468B" w:rsidRPr="00DC654B">
        <w:rPr>
          <w:sz w:val="36"/>
          <w:szCs w:val="36"/>
        </w:rPr>
        <w:t>:</w:t>
      </w:r>
      <w:r w:rsidR="005A5B11" w:rsidRPr="00DC654B">
        <w:rPr>
          <w:sz w:val="36"/>
          <w:szCs w:val="36"/>
        </w:rPr>
        <w:t xml:space="preserve"> </w:t>
      </w:r>
      <w:r w:rsidR="00AC0D7F">
        <w:rPr>
          <w:sz w:val="36"/>
          <w:szCs w:val="36"/>
        </w:rPr>
        <w:t>6</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502517">
      <w:pPr>
        <w:pStyle w:val="JobTitle"/>
        <w:tabs>
          <w:tab w:val="left" w:pos="2385"/>
        </w:tabs>
        <w:jc w:val="both"/>
      </w:pPr>
    </w:p>
    <w:p w14:paraId="05EF42B5" w14:textId="77777777" w:rsidR="001F3113" w:rsidRPr="001F3113" w:rsidRDefault="00816AA1" w:rsidP="00502517">
      <w:pPr>
        <w:pStyle w:val="Body-Bold"/>
        <w:jc w:val="both"/>
      </w:pPr>
      <w:r w:rsidRPr="001F3113">
        <w:t>Our Vision</w:t>
      </w:r>
    </w:p>
    <w:p w14:paraId="43756648" w14:textId="2EC603CB" w:rsidR="00816AA1" w:rsidRPr="00816AA1" w:rsidRDefault="00816AA1" w:rsidP="00502517">
      <w:pPr>
        <w:pStyle w:val="Body-text"/>
        <w:jc w:val="both"/>
      </w:pPr>
      <w:r>
        <w:t xml:space="preserve">A county where big ambitions, great connections and greener living give everyone the opportunity to prosper, be healthy and happy </w:t>
      </w:r>
    </w:p>
    <w:p w14:paraId="7C9A647E" w14:textId="6874233B" w:rsidR="00816AA1" w:rsidRDefault="00816AA1" w:rsidP="00502517">
      <w:pPr>
        <w:pStyle w:val="Body-Bold"/>
        <w:jc w:val="both"/>
        <w:rPr>
          <w:rFonts w:cs="Avenir Roman"/>
        </w:rPr>
      </w:pPr>
      <w:r w:rsidRPr="00816AA1">
        <w:t>Our Outcomes</w:t>
      </w:r>
    </w:p>
    <w:p w14:paraId="09E1B0CD" w14:textId="4819AD97" w:rsidR="00816AA1" w:rsidRPr="00816AA1" w:rsidRDefault="00816AA1" w:rsidP="00502517">
      <w:pPr>
        <w:pStyle w:val="Body-text"/>
        <w:jc w:val="both"/>
      </w:pPr>
      <w:r w:rsidRPr="00816AA1">
        <w:t>Everyone in Staffordshire will:</w:t>
      </w:r>
    </w:p>
    <w:p w14:paraId="32485761" w14:textId="6ECFC6F2" w:rsidR="00816AA1" w:rsidRPr="00816AA1" w:rsidRDefault="00816AA1" w:rsidP="00502517">
      <w:pPr>
        <w:pStyle w:val="Bullets"/>
        <w:spacing w:before="240"/>
        <w:jc w:val="both"/>
      </w:pPr>
      <w:r>
        <w:t xml:space="preserve">Have access to more good jobs and share the benefit of economic growth </w:t>
      </w:r>
    </w:p>
    <w:p w14:paraId="1C4CF2D7" w14:textId="69182068" w:rsidR="00816AA1" w:rsidRPr="00816AA1" w:rsidRDefault="00816AA1" w:rsidP="00502517">
      <w:pPr>
        <w:pStyle w:val="Bullets"/>
        <w:jc w:val="both"/>
      </w:pPr>
      <w:r>
        <w:t xml:space="preserve">Be healthier and more independent for longer </w:t>
      </w:r>
    </w:p>
    <w:p w14:paraId="4F0CEA56" w14:textId="639A94DE" w:rsidR="00816AA1" w:rsidRPr="00816AA1" w:rsidRDefault="00816AA1" w:rsidP="00502517">
      <w:pPr>
        <w:pStyle w:val="Bullets"/>
        <w:jc w:val="both"/>
      </w:pPr>
      <w:r>
        <w:t>Feel safer, happier and more supported in their community</w:t>
      </w:r>
    </w:p>
    <w:p w14:paraId="6D7B56E3" w14:textId="77777777" w:rsidR="00816AA1" w:rsidRDefault="00816AA1" w:rsidP="00502517">
      <w:pPr>
        <w:pStyle w:val="Body-Bold"/>
        <w:jc w:val="both"/>
        <w:rPr>
          <w:rFonts w:cs="Avenir Roman"/>
        </w:rPr>
      </w:pPr>
      <w:r w:rsidRPr="00816AA1">
        <w:t>Our Values</w:t>
      </w:r>
    </w:p>
    <w:p w14:paraId="3D86C2FA" w14:textId="67BCF9BF" w:rsidR="00816AA1" w:rsidRPr="00816AA1" w:rsidRDefault="00816AA1" w:rsidP="00502517">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502517">
      <w:pPr>
        <w:pStyle w:val="Bullets"/>
        <w:spacing w:before="240"/>
        <w:jc w:val="both"/>
      </w:pPr>
      <w:r>
        <w:t>Ambitious – We are ambitious for our communities and citizens</w:t>
      </w:r>
    </w:p>
    <w:p w14:paraId="7FAB97AC" w14:textId="58EF0E79" w:rsidR="00816AA1" w:rsidRPr="001F3113" w:rsidRDefault="00816AA1" w:rsidP="00502517">
      <w:pPr>
        <w:pStyle w:val="Bullets"/>
        <w:jc w:val="both"/>
      </w:pPr>
      <w:r>
        <w:t xml:space="preserve">Courageous – We recognise our challenges and are prepared to make </w:t>
      </w:r>
      <w:r>
        <w:br/>
        <w:t>courageous decisions</w:t>
      </w:r>
    </w:p>
    <w:p w14:paraId="74E6A9A0" w14:textId="553A484D" w:rsidR="00816AA1" w:rsidRPr="001F3113" w:rsidRDefault="00816AA1" w:rsidP="00502517">
      <w:pPr>
        <w:pStyle w:val="Bullets"/>
        <w:jc w:val="both"/>
      </w:pPr>
      <w:r>
        <w:t xml:space="preserve">Empowering – We empower and support our people by giving them </w:t>
      </w:r>
      <w:r>
        <w:br/>
        <w:t>the opportunity to do their jobs well.</w:t>
      </w:r>
    </w:p>
    <w:p w14:paraId="52BD0715" w14:textId="77777777" w:rsidR="00816AA1" w:rsidRPr="001F3113" w:rsidRDefault="00816AA1" w:rsidP="00502517">
      <w:pPr>
        <w:pStyle w:val="Body-Bold"/>
        <w:jc w:val="both"/>
      </w:pPr>
      <w:r>
        <w:t>About the Service</w:t>
      </w:r>
    </w:p>
    <w:p w14:paraId="68092D88" w14:textId="67822314" w:rsidR="00FA3E46" w:rsidRPr="00FA3E46" w:rsidRDefault="00FA3E46" w:rsidP="00502517">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502517">
      <w:pPr>
        <w:jc w:val="both"/>
        <w:rPr>
          <w:rFonts w:ascii="Verdana" w:eastAsia="Gill Sans MT" w:hAnsi="Verdana"/>
          <w:sz w:val="24"/>
          <w:szCs w:val="24"/>
        </w:rPr>
      </w:pPr>
      <w:r w:rsidRPr="00FA3E46">
        <w:rPr>
          <w:rFonts w:ascii="Verdana" w:eastAsia="Gill Sans MT" w:hAnsi="Verdana"/>
          <w:sz w:val="24"/>
          <w:szCs w:val="24"/>
        </w:rPr>
        <w:t>Staffordshire Legal Services also provides services to a range of external clients which are effective, customer friendly and provide value for money.</w:t>
      </w:r>
    </w:p>
    <w:p w14:paraId="50A54C86" w14:textId="77777777" w:rsidR="00FA3E46" w:rsidRPr="00FA3E46" w:rsidRDefault="00FA3E46" w:rsidP="00502517">
      <w:pPr>
        <w:jc w:val="both"/>
        <w:rPr>
          <w:rFonts w:ascii="Verdana" w:eastAsia="Gill Sans MT" w:hAnsi="Verdana"/>
          <w:sz w:val="24"/>
          <w:szCs w:val="24"/>
        </w:rPr>
      </w:pPr>
      <w:r w:rsidRPr="00FA3E46">
        <w:rPr>
          <w:rFonts w:ascii="Verdana" w:eastAsia="Gill Sans MT" w:hAnsi="Verdana"/>
          <w:sz w:val="24"/>
          <w:szCs w:val="24"/>
        </w:rPr>
        <w:lastRenderedPageBreak/>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502517">
      <w:pPr>
        <w:pStyle w:val="Body-Bold"/>
        <w:jc w:val="both"/>
      </w:pPr>
      <w:r w:rsidRPr="00816AA1">
        <w:t>Reporting Relationships</w:t>
      </w:r>
    </w:p>
    <w:p w14:paraId="1CD499BC" w14:textId="277D99B4" w:rsidR="00E30B0A" w:rsidRPr="00A7221C" w:rsidRDefault="00816AA1" w:rsidP="00502517">
      <w:pPr>
        <w:pStyle w:val="Body-Bold"/>
        <w:jc w:val="both"/>
        <w:rPr>
          <w:rFonts w:cstheme="minorBidi"/>
          <w:b w:val="0"/>
          <w:bCs w:val="0"/>
          <w:color w:val="auto"/>
        </w:rPr>
      </w:pPr>
      <w:r>
        <w:t xml:space="preserve">Responsible to: </w:t>
      </w:r>
      <w:r w:rsidR="4AC544A3">
        <w:t xml:space="preserve"> </w:t>
      </w:r>
      <w:r w:rsidR="00AE336D" w:rsidRPr="00A7221C">
        <w:rPr>
          <w:rFonts w:cstheme="minorBidi"/>
          <w:b w:val="0"/>
          <w:bCs w:val="0"/>
          <w:color w:val="auto"/>
        </w:rPr>
        <w:t>Business Team Manager (Legal)</w:t>
      </w:r>
    </w:p>
    <w:p w14:paraId="4AE6A17E" w14:textId="0D0C3717" w:rsidR="725E4267" w:rsidRDefault="725E4267" w:rsidP="00502517">
      <w:pPr>
        <w:pStyle w:val="Body-Bold"/>
        <w:jc w:val="both"/>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2860EDDA" w14:textId="42E73429" w:rsidR="00E30B0A" w:rsidRDefault="00E30B0A" w:rsidP="00502517">
      <w:pPr>
        <w:spacing w:after="0" w:line="240" w:lineRule="auto"/>
        <w:jc w:val="both"/>
        <w:rPr>
          <w:rFonts w:ascii="Verdana" w:eastAsia="Gill Sans MT" w:hAnsi="Verdana"/>
          <w:b/>
          <w:sz w:val="24"/>
          <w:szCs w:val="24"/>
        </w:rPr>
      </w:pPr>
      <w:r w:rsidRPr="00E30B0A">
        <w:rPr>
          <w:rFonts w:ascii="Verdana" w:eastAsia="Gill Sans MT" w:hAnsi="Verdana"/>
          <w:b/>
          <w:sz w:val="24"/>
          <w:szCs w:val="24"/>
        </w:rPr>
        <w:t>Key Accountabilities</w:t>
      </w:r>
    </w:p>
    <w:p w14:paraId="01BAB8D6" w14:textId="77777777" w:rsidR="00545666" w:rsidRDefault="00545666" w:rsidP="00502517">
      <w:pPr>
        <w:spacing w:after="0" w:line="240" w:lineRule="auto"/>
        <w:jc w:val="both"/>
        <w:rPr>
          <w:rFonts w:ascii="Verdana" w:eastAsia="Gill Sans MT" w:hAnsi="Verdana"/>
          <w:b/>
          <w:sz w:val="24"/>
          <w:szCs w:val="24"/>
        </w:rPr>
      </w:pPr>
    </w:p>
    <w:p w14:paraId="6CD0523F"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Specialise in any given area of legal discipline providing legal administrative support to lawyers and the conduct of their caseloads, legal office systems and processes in accordance with Legal Services’ professional responsibilities.</w:t>
      </w:r>
    </w:p>
    <w:p w14:paraId="0EF02417"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To conduct complex legal casework at a grade commensurate level to support the function of Legal Services Unit and progression of case files across the Legal Services Unit.</w:t>
      </w:r>
    </w:p>
    <w:p w14:paraId="2DA53ABB"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Process invoices on behalf of Legal Services Unit fee earners and to liaise with colleagues in Accounts Payable.  To investigate, challenge and check the accuracy of any invoices submitted for payment to ensure that there is no discrepancy, duplication and double payments and to ensure that accounts are properly payable.</w:t>
      </w:r>
    </w:p>
    <w:p w14:paraId="36CAF080" w14:textId="7066F052"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Assist with the collation and preparation of Court Applications including obtaining statements from the client department and partner agencies and the drafting of other documentation to the court.  To advise the client department in relation to what documentation is required to support a fully compliant application.</w:t>
      </w:r>
    </w:p>
    <w:p w14:paraId="22792CCD"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Support Legal Services’ selling services objectives including the design, drafting and preparation of marketing material, and business development meetings with clients.</w:t>
      </w:r>
    </w:p>
    <w:p w14:paraId="1DB88732"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Liaise with a variety of professionals including customers, courts, and external lawyers.  To work directly with service users and customers to ensure that the high standards of Legal Services Unit client care are adhered to.   Managing direct calls from customers including service users and assessing risks identified in those calls and directing calls as appropriate.</w:t>
      </w:r>
    </w:p>
    <w:p w14:paraId="4B275105"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lastRenderedPageBreak/>
        <w:t>Undertake research on topical legal matters, points of law and practice to support lawyers in the conduct of their work.</w:t>
      </w:r>
    </w:p>
    <w:p w14:paraId="3E5C0E13"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Positively engage with ongoing professional development and training in support of Legal &amp; Democratic Services’ aims and objectives.</w:t>
      </w:r>
    </w:p>
    <w:p w14:paraId="6C94BFE6"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 xml:space="preserve">Adherence to Legal Services’ </w:t>
      </w:r>
      <w:proofErr w:type="spellStart"/>
      <w:r w:rsidRPr="00A7221C">
        <w:rPr>
          <w:rFonts w:ascii="Verdana" w:hAnsi="Verdana"/>
          <w:sz w:val="24"/>
          <w:szCs w:val="24"/>
          <w:lang w:val="en-GB"/>
        </w:rPr>
        <w:t>Lexcel</w:t>
      </w:r>
      <w:proofErr w:type="spellEnd"/>
      <w:r w:rsidRPr="00A7221C">
        <w:rPr>
          <w:rFonts w:ascii="Verdana" w:hAnsi="Verdana"/>
          <w:sz w:val="24"/>
          <w:szCs w:val="24"/>
          <w:lang w:val="en-GB"/>
        </w:rPr>
        <w:t xml:space="preserve"> Law Society Practice Management Standard practices and procedures.  Contribution to the process of securing re-accreditation as and when required through the effective maintenance of systems.</w:t>
      </w:r>
    </w:p>
    <w:p w14:paraId="2192C1F5" w14:textId="77777777" w:rsidR="00A7221C" w:rsidRPr="00A7221C" w:rsidRDefault="00A7221C" w:rsidP="00A7221C">
      <w:pPr>
        <w:numPr>
          <w:ilvl w:val="0"/>
          <w:numId w:val="25"/>
        </w:numPr>
        <w:jc w:val="both"/>
        <w:rPr>
          <w:rFonts w:ascii="Verdana" w:hAnsi="Verdana"/>
          <w:sz w:val="24"/>
          <w:szCs w:val="24"/>
          <w:lang w:val="en-GB"/>
        </w:rPr>
      </w:pPr>
      <w:r w:rsidRPr="00A7221C">
        <w:rPr>
          <w:rFonts w:ascii="Verdana" w:hAnsi="Verdana"/>
          <w:sz w:val="24"/>
          <w:szCs w:val="24"/>
          <w:lang w:val="en-GB"/>
        </w:rPr>
        <w:t>Undertake such other duties as may reasonably be required commensurate to the overall grading of this post.</w:t>
      </w:r>
    </w:p>
    <w:p w14:paraId="669DA957" w14:textId="77777777" w:rsidR="00AE336D" w:rsidRPr="00AE336D" w:rsidRDefault="00AE336D" w:rsidP="00502517">
      <w:pPr>
        <w:jc w:val="both"/>
        <w:rPr>
          <w:rFonts w:ascii="Verdana" w:eastAsia="Gill Sans MT" w:hAnsi="Verdana" w:cs="Arial"/>
          <w:sz w:val="24"/>
          <w:szCs w:val="24"/>
        </w:rPr>
      </w:pPr>
      <w:r w:rsidRPr="00AE336D">
        <w:rPr>
          <w:rFonts w:ascii="Verdana" w:eastAsia="Gill Sans MT" w:hAnsi="Verdana"/>
          <w:sz w:val="24"/>
          <w:szCs w:val="24"/>
        </w:rPr>
        <w:t>This post is designated as a casual car user.</w:t>
      </w:r>
    </w:p>
    <w:p w14:paraId="3AED7B58" w14:textId="7BF1457C" w:rsidR="0041456C" w:rsidRPr="00CB325D" w:rsidRDefault="0041456C" w:rsidP="00502517">
      <w:pPr>
        <w:pStyle w:val="Body-Bold"/>
        <w:spacing w:line="240" w:lineRule="auto"/>
        <w:jc w:val="both"/>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502517">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50251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502517">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50251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502517">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50251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502517">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50251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D2B48F" w:rsidR="0041456C" w:rsidRDefault="0041456C" w:rsidP="00502517">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50251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502517">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50251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12A3E416" w14:textId="77777777" w:rsidR="00FE0E16" w:rsidRDefault="0041456C" w:rsidP="00502517">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DB923ED" w:rsidR="0041456C" w:rsidRPr="00FE0E16" w:rsidRDefault="0041456C" w:rsidP="00502517">
      <w:pPr>
        <w:tabs>
          <w:tab w:val="left" w:pos="8309"/>
        </w:tabs>
        <w:jc w:val="both"/>
        <w:rPr>
          <w:rFonts w:ascii="Verdana" w:eastAsia="Calibri" w:hAnsi="Verdana" w:cs="Avenir Roman"/>
          <w:color w:val="000000"/>
          <w:lang w:val="en-GB"/>
        </w:rPr>
      </w:pPr>
      <w:r w:rsidRPr="00FE0E16">
        <w:rPr>
          <w:rFonts w:ascii="Verdana" w:eastAsia="Calibri" w:hAnsi="Verdana" w:cs="Avenir Roman"/>
          <w:color w:val="000000"/>
          <w:lang w:val="en-GB"/>
        </w:rPr>
        <w:t>The content of this Job Description and Person Specification will be reviewed on a regular basis.</w:t>
      </w:r>
    </w:p>
    <w:p w14:paraId="7F3BC7C9" w14:textId="3471E12E" w:rsidR="0041456C" w:rsidRPr="004F3AA7" w:rsidRDefault="0041456C" w:rsidP="00502517">
      <w:pPr>
        <w:jc w:val="both"/>
        <w:rPr>
          <w:rFonts w:ascii="Verdana" w:hAnsi="Verdana"/>
          <w:lang w:val="en-GB"/>
        </w:rPr>
      </w:pPr>
      <w:r>
        <w:rPr>
          <w:rFonts w:ascii="Verdana" w:eastAsia="Calibri" w:hAnsi="Verdana" w:cs="Avenir Roman"/>
          <w:color w:val="000000"/>
          <w:sz w:val="24"/>
          <w:szCs w:val="24"/>
          <w:lang w:val="en-GB"/>
        </w:rPr>
        <w:br w:type="page"/>
      </w:r>
      <w:r w:rsidRPr="00D173B3">
        <w:rPr>
          <w:rFonts w:ascii="Verdana" w:hAnsi="Verdana" w:cs="Avenir Heavy"/>
          <w:b/>
          <w:bCs/>
          <w:lang w:val="en-GB"/>
        </w:rPr>
        <w:lastRenderedPageBreak/>
        <w:t xml:space="preserve">Person Specification </w:t>
      </w:r>
      <w:r w:rsidRPr="00D173B3">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4F3AA7">
        <w:rPr>
          <w:rFonts w:ascii="Verdana" w:hAnsi="Verdana"/>
          <w:lang w:val="en-GB"/>
        </w:rPr>
        <w:t xml:space="preserve">A = Assessed at Application </w:t>
      </w:r>
    </w:p>
    <w:p w14:paraId="1208F236" w14:textId="77777777" w:rsidR="0041456C" w:rsidRPr="004F3AA7" w:rsidRDefault="0041456C" w:rsidP="00502517">
      <w:pPr>
        <w:autoSpaceDE w:val="0"/>
        <w:autoSpaceDN w:val="0"/>
        <w:adjustRightInd w:val="0"/>
        <w:spacing w:after="0" w:line="240" w:lineRule="auto"/>
        <w:ind w:left="5760"/>
        <w:jc w:val="both"/>
        <w:rPr>
          <w:rFonts w:ascii="Verdana" w:hAnsi="Verdana" w:cs="Arial"/>
          <w:color w:val="000000"/>
          <w:sz w:val="23"/>
          <w:szCs w:val="23"/>
          <w:lang w:val="en-GB"/>
        </w:rPr>
      </w:pPr>
      <w:r w:rsidRPr="004F3AA7">
        <w:rPr>
          <w:rFonts w:ascii="Verdana" w:hAnsi="Verdana" w:cs="Arial"/>
          <w:color w:val="000000"/>
          <w:sz w:val="23"/>
          <w:szCs w:val="23"/>
          <w:lang w:val="en-GB"/>
        </w:rPr>
        <w:t xml:space="preserve">I = Assessed at Interview </w:t>
      </w:r>
    </w:p>
    <w:p w14:paraId="335978C5" w14:textId="7C40C114" w:rsidR="0041456C" w:rsidRPr="004F3AA7" w:rsidRDefault="0041456C" w:rsidP="00502517">
      <w:pPr>
        <w:autoSpaceDE w:val="0"/>
        <w:autoSpaceDN w:val="0"/>
        <w:adjustRightInd w:val="0"/>
        <w:spacing w:after="0" w:line="240" w:lineRule="auto"/>
        <w:ind w:left="5760"/>
        <w:jc w:val="both"/>
        <w:rPr>
          <w:rFonts w:ascii="Verdana" w:hAnsi="Verdana" w:cs="Arial"/>
          <w:color w:val="000000"/>
          <w:sz w:val="23"/>
          <w:szCs w:val="23"/>
          <w:lang w:val="en-GB"/>
        </w:rPr>
      </w:pPr>
      <w:r w:rsidRPr="004F3AA7">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584CCBC0" w:rsidR="0041456C" w:rsidRPr="0041456C" w:rsidRDefault="0041456C" w:rsidP="00502517">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4F3AA7">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502517">
            <w:pPr>
              <w:keepNext/>
              <w:spacing w:after="0" w:line="240" w:lineRule="auto"/>
              <w:jc w:val="both"/>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502517">
            <w:pPr>
              <w:jc w:val="both"/>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502517">
            <w:pPr>
              <w:jc w:val="both"/>
              <w:rPr>
                <w:rFonts w:ascii="Gill Sans MT" w:eastAsia="Gill Sans MT" w:hAnsi="Gill Sans MT"/>
              </w:rPr>
            </w:pPr>
          </w:p>
          <w:p w14:paraId="50C33848" w14:textId="77777777" w:rsidR="0041456C" w:rsidRPr="0041456C" w:rsidRDefault="0041456C" w:rsidP="00502517">
            <w:pPr>
              <w:jc w:val="both"/>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00502517">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0AF5FA50" w14:textId="77777777" w:rsidR="00AE336D" w:rsidRPr="00AE336D" w:rsidRDefault="00AE336D" w:rsidP="00502517">
            <w:pPr>
              <w:numPr>
                <w:ilvl w:val="0"/>
                <w:numId w:val="19"/>
              </w:numPr>
              <w:tabs>
                <w:tab w:val="clear" w:pos="720"/>
                <w:tab w:val="num" w:pos="405"/>
              </w:tabs>
              <w:spacing w:after="0" w:line="240" w:lineRule="auto"/>
              <w:jc w:val="both"/>
              <w:rPr>
                <w:rFonts w:ascii="Verdana" w:eastAsia="Gill Sans MT" w:hAnsi="Verdana"/>
                <w:sz w:val="24"/>
                <w:szCs w:val="24"/>
              </w:rPr>
            </w:pPr>
            <w:r w:rsidRPr="00AE336D">
              <w:rPr>
                <w:rFonts w:ascii="Verdana" w:hAnsi="Verdana"/>
                <w:sz w:val="24"/>
                <w:szCs w:val="24"/>
              </w:rPr>
              <w:t>Two A levels in any subject/One A Level in Law or equivalent experience in</w:t>
            </w:r>
            <w:r w:rsidRPr="00AE336D">
              <w:rPr>
                <w:rFonts w:ascii="Verdana" w:eastAsia="Gill Sans MT" w:hAnsi="Verdana"/>
                <w:sz w:val="24"/>
                <w:szCs w:val="24"/>
              </w:rPr>
              <w:t xml:space="preserve"> a relevant field.</w:t>
            </w:r>
          </w:p>
          <w:p w14:paraId="74AB4191" w14:textId="0DA2362A" w:rsidR="00FA3E46" w:rsidRPr="0041456C" w:rsidRDefault="00FA3E46" w:rsidP="00502517">
            <w:pPr>
              <w:tabs>
                <w:tab w:val="left" w:pos="372"/>
              </w:tabs>
              <w:spacing w:after="0" w:line="240" w:lineRule="auto"/>
              <w:ind w:left="720"/>
              <w:jc w:val="both"/>
              <w:rPr>
                <w:rFonts w:ascii="Gill Sans MT" w:eastAsia="Gill Sans MT" w:hAnsi="Gill Sans MT" w:cs="Gill Sans MT"/>
                <w:b/>
                <w:bCs/>
              </w:rPr>
            </w:pPr>
          </w:p>
        </w:tc>
        <w:tc>
          <w:tcPr>
            <w:tcW w:w="1946" w:type="dxa"/>
          </w:tcPr>
          <w:p w14:paraId="68FF5ED8" w14:textId="2A9EFC33" w:rsidR="0041456C" w:rsidRDefault="0041456C" w:rsidP="00502517">
            <w:pPr>
              <w:jc w:val="both"/>
              <w:rPr>
                <w:rFonts w:ascii="Gill Sans MT" w:eastAsia="Gill Sans MT" w:hAnsi="Gill Sans MT"/>
              </w:rPr>
            </w:pPr>
          </w:p>
          <w:p w14:paraId="303DF371" w14:textId="18924A00" w:rsidR="00FA3E46" w:rsidRPr="0041456C" w:rsidRDefault="00FA3E46" w:rsidP="00502517">
            <w:pPr>
              <w:jc w:val="both"/>
              <w:rPr>
                <w:rFonts w:ascii="Gill Sans MT" w:eastAsia="Gill Sans MT" w:hAnsi="Gill Sans MT"/>
              </w:rPr>
            </w:pPr>
            <w:r>
              <w:rPr>
                <w:rFonts w:ascii="Gill Sans MT" w:eastAsia="Gill Sans MT" w:hAnsi="Gill Sans MT"/>
              </w:rPr>
              <w:t>A</w:t>
            </w:r>
          </w:p>
          <w:p w14:paraId="4FA5215D" w14:textId="4BFF1A37" w:rsidR="0041456C" w:rsidRPr="0041456C" w:rsidRDefault="0041456C" w:rsidP="00502517">
            <w:pPr>
              <w:jc w:val="both"/>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502517">
            <w:pPr>
              <w:jc w:val="both"/>
              <w:rPr>
                <w:rFonts w:ascii="Gill Sans MT" w:eastAsia="Gill Sans MT" w:hAnsi="Gill Sans MT"/>
              </w:rPr>
            </w:pPr>
          </w:p>
          <w:p w14:paraId="59067C5E" w14:textId="0A01C543" w:rsidR="000930A6" w:rsidRDefault="0041456C" w:rsidP="00502517">
            <w:pPr>
              <w:jc w:val="both"/>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40B1B5" w14:textId="0EEE3703" w:rsidR="000930A6" w:rsidRPr="0041456C" w:rsidRDefault="000930A6" w:rsidP="00502517">
            <w:pPr>
              <w:jc w:val="both"/>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511E32" w14:textId="77777777" w:rsidR="0041456C" w:rsidRDefault="0041456C" w:rsidP="00502517">
            <w:pPr>
              <w:jc w:val="both"/>
              <w:rPr>
                <w:rFonts w:ascii="Gill Sans MT" w:eastAsia="Gill Sans MT" w:hAnsi="Gill Sans MT"/>
              </w:rPr>
            </w:pPr>
          </w:p>
          <w:p w14:paraId="6D2C4BB0" w14:textId="0C0DEE8D" w:rsidR="00E076BC" w:rsidRPr="0041456C" w:rsidRDefault="00E076BC" w:rsidP="00502517">
            <w:pPr>
              <w:jc w:val="both"/>
              <w:rPr>
                <w:rFonts w:ascii="Gill Sans MT" w:eastAsia="Gill Sans MT" w:hAnsi="Gill Sans MT"/>
              </w:rPr>
            </w:pPr>
          </w:p>
        </w:tc>
        <w:tc>
          <w:tcPr>
            <w:tcW w:w="7440" w:type="dxa"/>
          </w:tcPr>
          <w:p w14:paraId="551CEF27" w14:textId="77777777" w:rsidR="00E30B0A" w:rsidRPr="004F3AA7" w:rsidRDefault="00E30B0A" w:rsidP="00502517">
            <w:pPr>
              <w:jc w:val="both"/>
              <w:rPr>
                <w:rFonts w:ascii="Verdana" w:hAnsi="Verdana"/>
              </w:rPr>
            </w:pPr>
            <w:r w:rsidRPr="004F3AA7">
              <w:rPr>
                <w:rFonts w:ascii="Verdana" w:hAnsi="Verdana"/>
                <w:b/>
              </w:rPr>
              <w:t>Knowledge and Experience</w:t>
            </w:r>
          </w:p>
          <w:p w14:paraId="02BC008B" w14:textId="77777777" w:rsidR="00AE336D" w:rsidRPr="00AE336D" w:rsidRDefault="00AE336D" w:rsidP="00502517">
            <w:pPr>
              <w:numPr>
                <w:ilvl w:val="0"/>
                <w:numId w:val="12"/>
              </w:numPr>
              <w:autoSpaceDE w:val="0"/>
              <w:autoSpaceDN w:val="0"/>
              <w:adjustRightInd w:val="0"/>
              <w:spacing w:after="0" w:line="240" w:lineRule="auto"/>
              <w:jc w:val="both"/>
              <w:rPr>
                <w:rFonts w:ascii="Verdana" w:eastAsia="Gill Sans MT" w:hAnsi="Verdana"/>
                <w:sz w:val="24"/>
                <w:szCs w:val="24"/>
              </w:rPr>
            </w:pPr>
            <w:r w:rsidRPr="00AE336D">
              <w:rPr>
                <w:rFonts w:ascii="Verdana" w:eastAsia="Gill Sans MT" w:hAnsi="Verdana"/>
                <w:sz w:val="24"/>
                <w:szCs w:val="24"/>
              </w:rPr>
              <w:t>Demonstrable experience in a relevant environment.</w:t>
            </w:r>
          </w:p>
          <w:p w14:paraId="7300950F" w14:textId="77777777" w:rsidR="00545666" w:rsidRPr="00545666" w:rsidRDefault="00545666" w:rsidP="00502517">
            <w:pPr>
              <w:numPr>
                <w:ilvl w:val="0"/>
                <w:numId w:val="12"/>
              </w:numPr>
              <w:tabs>
                <w:tab w:val="clear" w:pos="360"/>
                <w:tab w:val="left" w:pos="372"/>
              </w:tabs>
              <w:autoSpaceDE w:val="0"/>
              <w:autoSpaceDN w:val="0"/>
              <w:adjustRightInd w:val="0"/>
              <w:spacing w:after="0" w:line="240" w:lineRule="auto"/>
              <w:jc w:val="both"/>
              <w:rPr>
                <w:rFonts w:ascii="Verdana" w:eastAsia="Gill Sans MT" w:hAnsi="Verdana"/>
                <w:sz w:val="24"/>
                <w:szCs w:val="24"/>
              </w:rPr>
            </w:pPr>
            <w:r w:rsidRPr="00545666">
              <w:rPr>
                <w:rFonts w:ascii="Verdana" w:eastAsia="Gill Sans MT" w:hAnsi="Verdana"/>
                <w:sz w:val="24"/>
                <w:szCs w:val="24"/>
              </w:rPr>
              <w:t>Ability to take responsibility for legal case files at an appropriate level commensurate with Grade.</w:t>
            </w:r>
          </w:p>
          <w:p w14:paraId="186B0F1C" w14:textId="78635DE1" w:rsidR="00FA3E46" w:rsidRPr="000930A6" w:rsidRDefault="00545666" w:rsidP="00502517">
            <w:pPr>
              <w:numPr>
                <w:ilvl w:val="0"/>
                <w:numId w:val="12"/>
              </w:numPr>
              <w:overflowPunct w:val="0"/>
              <w:autoSpaceDE w:val="0"/>
              <w:autoSpaceDN w:val="0"/>
              <w:spacing w:after="0" w:line="240" w:lineRule="auto"/>
              <w:jc w:val="both"/>
              <w:rPr>
                <w:rFonts w:ascii="Arial" w:hAnsi="Arial" w:cs="Arial"/>
              </w:rPr>
            </w:pPr>
            <w:r w:rsidRPr="00545666">
              <w:rPr>
                <w:rFonts w:ascii="Verdana" w:eastAsia="Gill Sans MT" w:hAnsi="Verdana"/>
                <w:sz w:val="24"/>
                <w:szCs w:val="24"/>
              </w:rPr>
              <w:t>Understanding of the theory and principles underpinning legal work.</w:t>
            </w:r>
            <w:r w:rsidRPr="00760BBD">
              <w:rPr>
                <w:rFonts w:ascii="Gill Sans MT" w:eastAsia="Gill Sans MT" w:hAnsi="Gill Sans MT"/>
              </w:rPr>
              <w:t xml:space="preserve">  </w:t>
            </w:r>
          </w:p>
        </w:tc>
        <w:tc>
          <w:tcPr>
            <w:tcW w:w="1946" w:type="dxa"/>
          </w:tcPr>
          <w:p w14:paraId="0EB5AE74" w14:textId="64220807" w:rsidR="0041456C" w:rsidRPr="0041456C" w:rsidRDefault="0041456C" w:rsidP="00502517">
            <w:pPr>
              <w:jc w:val="both"/>
              <w:rPr>
                <w:rFonts w:ascii="Gill Sans MT" w:eastAsia="Gill Sans MT" w:hAnsi="Gill Sans MT"/>
              </w:rPr>
            </w:pPr>
          </w:p>
          <w:p w14:paraId="73459890" w14:textId="072E90CF" w:rsidR="0041456C" w:rsidRPr="0041456C" w:rsidRDefault="00E30B0A" w:rsidP="00502517">
            <w:pPr>
              <w:spacing w:line="240" w:lineRule="auto"/>
              <w:jc w:val="both"/>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502517">
            <w:pPr>
              <w:jc w:val="both"/>
              <w:rPr>
                <w:rFonts w:ascii="Gill Sans MT" w:eastAsia="Gill Sans MT" w:hAnsi="Gill Sans MT"/>
                <w:b/>
              </w:rPr>
            </w:pPr>
          </w:p>
          <w:p w14:paraId="01337B38" w14:textId="77777777" w:rsidR="0041456C" w:rsidRDefault="00FB11CC" w:rsidP="00502517">
            <w:pPr>
              <w:jc w:val="both"/>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B669BC" w14:textId="77777777" w:rsidR="00AC0D7F" w:rsidRDefault="00AC0D7F" w:rsidP="00502517">
            <w:pPr>
              <w:jc w:val="both"/>
              <w:rPr>
                <w:rFonts w:ascii="Gill Sans MT" w:eastAsia="Gill Sans MT" w:hAnsi="Gill Sans MT"/>
                <w:b/>
              </w:rPr>
            </w:pPr>
          </w:p>
          <w:p w14:paraId="5050E031" w14:textId="77777777" w:rsidR="00AC0D7F" w:rsidRDefault="00AC0D7F" w:rsidP="00502517">
            <w:pPr>
              <w:jc w:val="both"/>
              <w:rPr>
                <w:rFonts w:ascii="Gill Sans MT" w:eastAsia="Gill Sans MT" w:hAnsi="Gill Sans MT"/>
                <w:b/>
              </w:rPr>
            </w:pPr>
          </w:p>
          <w:p w14:paraId="566A4932" w14:textId="2537E285" w:rsidR="00AC0D7F" w:rsidRDefault="00AC0D7F" w:rsidP="00502517">
            <w:pPr>
              <w:jc w:val="both"/>
              <w:rPr>
                <w:rFonts w:ascii="Gill Sans MT" w:eastAsia="Gill Sans MT" w:hAnsi="Gill Sans MT"/>
                <w:b/>
              </w:rPr>
            </w:pPr>
          </w:p>
          <w:p w14:paraId="6BF9CE5F" w14:textId="77777777" w:rsidR="00AC0D7F" w:rsidRDefault="00AC0D7F" w:rsidP="00502517">
            <w:pPr>
              <w:jc w:val="both"/>
              <w:rPr>
                <w:rFonts w:ascii="Gill Sans MT" w:eastAsia="Gill Sans MT" w:hAnsi="Gill Sans MT"/>
                <w:b/>
              </w:rPr>
            </w:pPr>
          </w:p>
          <w:p w14:paraId="418B21FF" w14:textId="66C40C12" w:rsidR="00AC0D7F" w:rsidRDefault="00AC0D7F" w:rsidP="00502517">
            <w:pPr>
              <w:jc w:val="both"/>
              <w:rPr>
                <w:rFonts w:ascii="Gill Sans MT" w:eastAsia="Gill Sans MT" w:hAnsi="Gill Sans MT"/>
                <w:b/>
              </w:rPr>
            </w:pPr>
            <w:r w:rsidRPr="0041456C">
              <w:rPr>
                <w:rFonts w:ascii="Gill Sans MT" w:eastAsia="Gill Sans MT" w:hAnsi="Gill Sans MT"/>
                <w:b/>
                <w:noProof/>
              </w:rPr>
              <w:drawing>
                <wp:inline distT="0" distB="0" distL="0" distR="0" wp14:anchorId="0A10047B" wp14:editId="2388926A">
                  <wp:extent cx="501015" cy="243205"/>
                  <wp:effectExtent l="0" t="0" r="0" b="0"/>
                  <wp:docPr id="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ED68548" w14:textId="77777777" w:rsidR="00AC0D7F" w:rsidRDefault="00AC0D7F" w:rsidP="00502517">
            <w:pPr>
              <w:jc w:val="both"/>
              <w:rPr>
                <w:rFonts w:ascii="Gill Sans MT" w:eastAsia="Gill Sans MT" w:hAnsi="Gill Sans MT"/>
                <w:b/>
              </w:rPr>
            </w:pPr>
          </w:p>
          <w:p w14:paraId="5FD33341" w14:textId="11A4156C" w:rsidR="00AC0D7F" w:rsidRPr="0041456C" w:rsidRDefault="00AC0D7F" w:rsidP="00502517">
            <w:pPr>
              <w:jc w:val="both"/>
              <w:rPr>
                <w:rFonts w:ascii="Gill Sans MT" w:eastAsia="Gill Sans MT" w:hAnsi="Gill Sans MT"/>
                <w:b/>
              </w:rPr>
            </w:pPr>
          </w:p>
        </w:tc>
        <w:tc>
          <w:tcPr>
            <w:tcW w:w="7440" w:type="dxa"/>
          </w:tcPr>
          <w:p w14:paraId="3A824E1C" w14:textId="31AADFFA" w:rsidR="00FB11CC" w:rsidRDefault="00FB11CC" w:rsidP="00502517">
            <w:pPr>
              <w:spacing w:after="0" w:line="240" w:lineRule="auto"/>
              <w:jc w:val="both"/>
              <w:rPr>
                <w:rFonts w:ascii="Verdana" w:hAnsi="Verdana"/>
                <w:b/>
                <w:bCs/>
              </w:rPr>
            </w:pPr>
            <w:r w:rsidRPr="00FB11CC">
              <w:rPr>
                <w:rFonts w:ascii="Verdana" w:hAnsi="Verdana"/>
                <w:b/>
                <w:bCs/>
              </w:rPr>
              <w:t>Skills</w:t>
            </w:r>
          </w:p>
          <w:p w14:paraId="035F3F5C" w14:textId="77777777" w:rsidR="00AC0D7F" w:rsidRPr="00FB11CC" w:rsidRDefault="00AC0D7F" w:rsidP="00502517">
            <w:pPr>
              <w:spacing w:after="0" w:line="240" w:lineRule="auto"/>
              <w:jc w:val="both"/>
              <w:rPr>
                <w:rFonts w:ascii="Verdana" w:hAnsi="Verdana"/>
                <w:b/>
                <w:bCs/>
              </w:rPr>
            </w:pPr>
          </w:p>
          <w:p w14:paraId="4C0591BF"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An understanding of the law relating to the role.</w:t>
            </w:r>
          </w:p>
          <w:p w14:paraId="0CB51991"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Ability to work effectively to deadlines, under pressure, whilst maintaining an excellent standard of work.</w:t>
            </w:r>
          </w:p>
          <w:p w14:paraId="1AA2869A"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Effective interpersonal skills with the ability to develop good working relationships at all levels that generate confidence and trust.</w:t>
            </w:r>
          </w:p>
          <w:p w14:paraId="68127AE4"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Effective oral and written skills.</w:t>
            </w:r>
          </w:p>
          <w:p w14:paraId="28015878"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Good level of IT literacy and the confidence to use IT systems.</w:t>
            </w:r>
          </w:p>
          <w:p w14:paraId="56ABACB0"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Attention to detail.</w:t>
            </w:r>
          </w:p>
          <w:p w14:paraId="130CC584"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 xml:space="preserve">Demonstrate analytical and </w:t>
            </w:r>
            <w:proofErr w:type="gramStart"/>
            <w:r w:rsidRPr="00545666">
              <w:rPr>
                <w:rFonts w:ascii="Verdana" w:eastAsia="Gill Sans MT" w:hAnsi="Verdana"/>
                <w:sz w:val="24"/>
                <w:szCs w:val="24"/>
              </w:rPr>
              <w:t>problem solving</w:t>
            </w:r>
            <w:proofErr w:type="gramEnd"/>
            <w:r w:rsidRPr="00545666">
              <w:rPr>
                <w:rFonts w:ascii="Verdana" w:eastAsia="Gill Sans MT" w:hAnsi="Verdana"/>
                <w:sz w:val="24"/>
                <w:szCs w:val="24"/>
              </w:rPr>
              <w:t xml:space="preserve"> skills.</w:t>
            </w:r>
          </w:p>
          <w:p w14:paraId="6C0209CE"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Ability to work on own initiative.</w:t>
            </w:r>
          </w:p>
          <w:p w14:paraId="253F0E29"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 xml:space="preserve">Customer and commercially focused, with a </w:t>
            </w:r>
            <w:proofErr w:type="gramStart"/>
            <w:r w:rsidRPr="00545666">
              <w:rPr>
                <w:rFonts w:ascii="Verdana" w:eastAsia="Gill Sans MT" w:hAnsi="Verdana"/>
                <w:sz w:val="24"/>
                <w:szCs w:val="24"/>
              </w:rPr>
              <w:t>solutions</w:t>
            </w:r>
            <w:proofErr w:type="gramEnd"/>
            <w:r w:rsidRPr="00545666">
              <w:rPr>
                <w:rFonts w:ascii="Verdana" w:eastAsia="Gill Sans MT" w:hAnsi="Verdana"/>
                <w:sz w:val="24"/>
                <w:szCs w:val="24"/>
              </w:rPr>
              <w:t xml:space="preserve"> driven approach.</w:t>
            </w:r>
          </w:p>
          <w:p w14:paraId="7F0F0B24"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Integrity and trustworthiness.</w:t>
            </w:r>
          </w:p>
          <w:p w14:paraId="7F2B5285" w14:textId="77777777" w:rsidR="00545666" w:rsidRPr="00545666" w:rsidRDefault="00545666" w:rsidP="00502517">
            <w:pPr>
              <w:numPr>
                <w:ilvl w:val="0"/>
                <w:numId w:val="23"/>
              </w:numPr>
              <w:spacing w:after="0" w:line="240" w:lineRule="auto"/>
              <w:jc w:val="both"/>
              <w:rPr>
                <w:rFonts w:ascii="Verdana" w:eastAsia="Gill Sans MT" w:hAnsi="Verdana"/>
                <w:sz w:val="24"/>
                <w:szCs w:val="24"/>
              </w:rPr>
            </w:pPr>
            <w:r w:rsidRPr="00545666">
              <w:rPr>
                <w:rFonts w:ascii="Verdana" w:eastAsia="Gill Sans MT" w:hAnsi="Verdana"/>
                <w:sz w:val="24"/>
                <w:szCs w:val="24"/>
              </w:rPr>
              <w:t>Team player.</w:t>
            </w:r>
          </w:p>
          <w:p w14:paraId="0EFD44B0" w14:textId="311E979C" w:rsidR="0041456C" w:rsidRPr="0041456C" w:rsidRDefault="0041456C" w:rsidP="00502517">
            <w:pPr>
              <w:spacing w:after="0" w:line="240" w:lineRule="auto"/>
              <w:ind w:left="360"/>
              <w:jc w:val="both"/>
              <w:rPr>
                <w:rFonts w:ascii="Arial" w:eastAsia="Arial" w:hAnsi="Arial" w:cs="Arial"/>
              </w:rPr>
            </w:pPr>
          </w:p>
        </w:tc>
        <w:tc>
          <w:tcPr>
            <w:tcW w:w="1946" w:type="dxa"/>
          </w:tcPr>
          <w:p w14:paraId="4C178B8C" w14:textId="77777777" w:rsidR="00EE4C68" w:rsidRDefault="00EE4C68" w:rsidP="00502517">
            <w:pPr>
              <w:jc w:val="both"/>
              <w:rPr>
                <w:rFonts w:ascii="Gill Sans MT" w:eastAsia="Gill Sans MT" w:hAnsi="Gill Sans MT"/>
              </w:rPr>
            </w:pPr>
          </w:p>
          <w:p w14:paraId="41C6BA5A" w14:textId="6D9D717C" w:rsidR="0041456C" w:rsidRPr="0041456C" w:rsidRDefault="00AC0D7F" w:rsidP="00502517">
            <w:pPr>
              <w:jc w:val="both"/>
              <w:rPr>
                <w:rFonts w:ascii="Gill Sans MT" w:eastAsia="Gill Sans MT" w:hAnsi="Gill Sans MT"/>
              </w:rPr>
            </w:pPr>
            <w:r>
              <w:rPr>
                <w:rFonts w:ascii="Gill Sans MT" w:eastAsia="Gill Sans MT" w:hAnsi="Gill Sans MT"/>
              </w:rPr>
              <w:t xml:space="preserve">All by </w:t>
            </w:r>
            <w:r w:rsidR="00FB11CC">
              <w:rPr>
                <w:rFonts w:ascii="Gill Sans MT" w:eastAsia="Gill Sans MT" w:hAnsi="Gill Sans MT"/>
              </w:rPr>
              <w:t>A/I</w:t>
            </w:r>
          </w:p>
        </w:tc>
      </w:tr>
    </w:tbl>
    <w:p w14:paraId="66A26FF5" w14:textId="77777777" w:rsidR="0041456C" w:rsidRDefault="0041456C" w:rsidP="00502517">
      <w:pPr>
        <w:jc w:val="both"/>
        <w:rPr>
          <w:rFonts w:ascii="Gill Sans MT" w:eastAsia="Gill Sans MT" w:hAnsi="Gill Sans MT"/>
          <w:b/>
          <w:szCs w:val="20"/>
        </w:rPr>
      </w:pPr>
    </w:p>
    <w:p w14:paraId="2AD99DD5" w14:textId="27128AC4" w:rsidR="0041456C" w:rsidRPr="0041456C" w:rsidRDefault="0041456C" w:rsidP="00502517">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3AA58E96" w:rsidR="0041456C" w:rsidRPr="0041456C" w:rsidRDefault="0041456C" w:rsidP="00502517">
      <w:pPr>
        <w:pStyle w:val="Header"/>
        <w:jc w:val="both"/>
        <w:rPr>
          <w:rFonts w:ascii="Verdana" w:eastAsia="Gill Sans MT" w:hAnsi="Verdana" w:cs="Arial"/>
        </w:rPr>
      </w:pPr>
      <w:r w:rsidRPr="0041456C">
        <w:rPr>
          <w:rFonts w:ascii="Verdana" w:eastAsia="Gill Sans MT" w:hAnsi="Verdana" w:cs="Arial"/>
        </w:rPr>
        <w:t xml:space="preserve">We are proud to display the </w:t>
      </w:r>
      <w:r w:rsidRPr="00FE0E16">
        <w:rPr>
          <w:rFonts w:ascii="Verdana" w:eastAsia="Gill Sans MT" w:hAnsi="Verdana" w:cs="Arial"/>
          <w:b/>
          <w:bCs/>
        </w:rPr>
        <w:t>Disability Confidence Symbol</w:t>
      </w:r>
      <w:r w:rsidRPr="0041456C">
        <w:rPr>
          <w:rFonts w:ascii="Verdana" w:eastAsia="Gill Sans MT" w:hAnsi="Verdana" w:cs="Arial"/>
        </w:rPr>
        <w:t xml:space="preserve">, which is a recognition given by Job </w:t>
      </w:r>
      <w:r w:rsidR="00A7221C" w:rsidRPr="0041456C">
        <w:rPr>
          <w:rFonts w:ascii="Verdana" w:eastAsia="Gill Sans MT" w:hAnsi="Verdana" w:cs="Arial"/>
        </w:rPr>
        <w:t>Centre</w:t>
      </w:r>
      <w:r w:rsidRPr="0041456C">
        <w:rPr>
          <w:rFonts w:ascii="Verdana" w:eastAsia="Gill Sans MT" w:hAnsi="Verdana" w:cs="Arial"/>
        </w:rPr>
        <w:t xml:space="preserve"> </w:t>
      </w:r>
      <w:r w:rsidR="00A7221C">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4D950112" w:rsidR="0041456C" w:rsidRDefault="00FE537E" w:rsidP="00502517">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6B52A51C"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AE336D" w:rsidRPr="00AE336D">
                              <w:rPr>
                                <w:rFonts w:ascii="Verdana" w:eastAsia="Gill Sans MT" w:hAnsi="Verdana" w:cs="Arial"/>
                                <w:b/>
                                <w:sz w:val="28"/>
                                <w:szCs w:val="28"/>
                              </w:rPr>
                              <w:t>Recruitment Team</w:t>
                            </w:r>
                            <w:r w:rsidR="00AE336D">
                              <w:rPr>
                                <w:rFonts w:ascii="Gill Sans MT" w:eastAsia="Gill Sans MT" w:hAnsi="Gill Sans MT" w:cs="Arial"/>
                                <w:b/>
                                <w:sz w:val="28"/>
                                <w:szCs w:val="28"/>
                              </w:rPr>
                              <w:t xml:space="preserve">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6B52A51C"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AE336D" w:rsidRPr="00AE336D">
                        <w:rPr>
                          <w:rFonts w:ascii="Verdana" w:eastAsia="Gill Sans MT" w:hAnsi="Verdana" w:cs="Arial"/>
                          <w:b/>
                          <w:sz w:val="28"/>
                          <w:szCs w:val="28"/>
                        </w:rPr>
                        <w:t>Recruitment Team</w:t>
                      </w:r>
                      <w:r w:rsidR="00AE336D">
                        <w:rPr>
                          <w:rFonts w:ascii="Gill Sans MT" w:eastAsia="Gill Sans MT" w:hAnsi="Gill Sans MT" w:cs="Arial"/>
                          <w:b/>
                          <w:sz w:val="28"/>
                          <w:szCs w:val="28"/>
                        </w:rPr>
                        <w:t xml:space="preserve">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502517">
      <w:pPr>
        <w:pStyle w:val="Header"/>
        <w:jc w:val="both"/>
        <w:rPr>
          <w:rFonts w:ascii="Gill Sans MT" w:eastAsia="Gill Sans MT" w:hAnsi="Gill Sans MT"/>
        </w:rPr>
      </w:pPr>
    </w:p>
    <w:p w14:paraId="129A0CE5" w14:textId="77777777" w:rsidR="0041456C" w:rsidRPr="00816AA1" w:rsidRDefault="0041456C" w:rsidP="00502517">
      <w:pPr>
        <w:pStyle w:val="Body-Bold"/>
        <w:jc w:val="both"/>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050"/>
    <w:multiLevelType w:val="hybridMultilevel"/>
    <w:tmpl w:val="F6E8C83C"/>
    <w:lvl w:ilvl="0" w:tplc="57549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A6A7C"/>
    <w:multiLevelType w:val="multilevel"/>
    <w:tmpl w:val="A90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5"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6"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10"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3" w15:restartNumberingAfterBreak="0">
    <w:nsid w:val="3CCD5071"/>
    <w:multiLevelType w:val="hybridMultilevel"/>
    <w:tmpl w:val="B45A8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8"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9"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0"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22103"/>
    <w:multiLevelType w:val="hybridMultilevel"/>
    <w:tmpl w:val="53D0E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1D30A7"/>
    <w:multiLevelType w:val="hybridMultilevel"/>
    <w:tmpl w:val="7F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3670828">
    <w:abstractNumId w:val="4"/>
  </w:num>
  <w:num w:numId="2" w16cid:durableId="1645158399">
    <w:abstractNumId w:val="9"/>
  </w:num>
  <w:num w:numId="3" w16cid:durableId="1755127746">
    <w:abstractNumId w:val="12"/>
  </w:num>
  <w:num w:numId="4" w16cid:durableId="1344475097">
    <w:abstractNumId w:val="5"/>
  </w:num>
  <w:num w:numId="5" w16cid:durableId="1139416454">
    <w:abstractNumId w:val="6"/>
  </w:num>
  <w:num w:numId="6" w16cid:durableId="21323084">
    <w:abstractNumId w:val="15"/>
  </w:num>
  <w:num w:numId="7" w16cid:durableId="1315137153">
    <w:abstractNumId w:val="22"/>
  </w:num>
  <w:num w:numId="8" w16cid:durableId="1468281517">
    <w:abstractNumId w:val="7"/>
  </w:num>
  <w:num w:numId="9" w16cid:durableId="1384594314">
    <w:abstractNumId w:val="20"/>
  </w:num>
  <w:num w:numId="10" w16cid:durableId="1525513185">
    <w:abstractNumId w:val="24"/>
  </w:num>
  <w:num w:numId="11" w16cid:durableId="460193951">
    <w:abstractNumId w:val="0"/>
  </w:num>
  <w:num w:numId="12" w16cid:durableId="1792628982">
    <w:abstractNumId w:val="14"/>
  </w:num>
  <w:num w:numId="13" w16cid:durableId="610480397">
    <w:abstractNumId w:val="16"/>
  </w:num>
  <w:num w:numId="14" w16cid:durableId="1081676249">
    <w:abstractNumId w:val="10"/>
  </w:num>
  <w:num w:numId="15" w16cid:durableId="735708129">
    <w:abstractNumId w:val="11"/>
  </w:num>
  <w:num w:numId="16" w16cid:durableId="179322830">
    <w:abstractNumId w:val="3"/>
  </w:num>
  <w:num w:numId="17" w16cid:durableId="1099175067">
    <w:abstractNumId w:val="1"/>
  </w:num>
  <w:num w:numId="18" w16cid:durableId="1170372737">
    <w:abstractNumId w:val="21"/>
  </w:num>
  <w:num w:numId="19" w16cid:durableId="1923875831">
    <w:abstractNumId w:val="8"/>
  </w:num>
  <w:num w:numId="20" w16cid:durableId="1836528823">
    <w:abstractNumId w:val="23"/>
  </w:num>
  <w:num w:numId="21" w16cid:durableId="1191185473">
    <w:abstractNumId w:val="17"/>
  </w:num>
  <w:num w:numId="22" w16cid:durableId="835654816">
    <w:abstractNumId w:val="18"/>
  </w:num>
  <w:num w:numId="23" w16cid:durableId="1631856597">
    <w:abstractNumId w:val="19"/>
  </w:num>
  <w:num w:numId="24" w16cid:durableId="1945844862">
    <w:abstractNumId w:val="13"/>
  </w:num>
  <w:num w:numId="25" w16cid:durableId="27094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56C"/>
    <w:rsid w:val="0004578C"/>
    <w:rsid w:val="00062E99"/>
    <w:rsid w:val="000930A6"/>
    <w:rsid w:val="000A6B3A"/>
    <w:rsid w:val="00131E71"/>
    <w:rsid w:val="00141D89"/>
    <w:rsid w:val="001667C8"/>
    <w:rsid w:val="001A15EA"/>
    <w:rsid w:val="001F3113"/>
    <w:rsid w:val="00205A57"/>
    <w:rsid w:val="00231B51"/>
    <w:rsid w:val="00261654"/>
    <w:rsid w:val="00265281"/>
    <w:rsid w:val="00296E0E"/>
    <w:rsid w:val="002D413B"/>
    <w:rsid w:val="00316CA7"/>
    <w:rsid w:val="003E7AA3"/>
    <w:rsid w:val="003F50AB"/>
    <w:rsid w:val="0041456C"/>
    <w:rsid w:val="00465664"/>
    <w:rsid w:val="004E7E01"/>
    <w:rsid w:val="004F3AA7"/>
    <w:rsid w:val="00502517"/>
    <w:rsid w:val="00535B0F"/>
    <w:rsid w:val="00545666"/>
    <w:rsid w:val="005A2FA4"/>
    <w:rsid w:val="005A5B11"/>
    <w:rsid w:val="00617625"/>
    <w:rsid w:val="00631475"/>
    <w:rsid w:val="00671CC9"/>
    <w:rsid w:val="00770B6C"/>
    <w:rsid w:val="00797BFE"/>
    <w:rsid w:val="007A6708"/>
    <w:rsid w:val="0080309F"/>
    <w:rsid w:val="00816AA1"/>
    <w:rsid w:val="00871192"/>
    <w:rsid w:val="00872B70"/>
    <w:rsid w:val="009446C3"/>
    <w:rsid w:val="0096580A"/>
    <w:rsid w:val="00977EA1"/>
    <w:rsid w:val="0099470D"/>
    <w:rsid w:val="009C4A76"/>
    <w:rsid w:val="00A34FE9"/>
    <w:rsid w:val="00A645DA"/>
    <w:rsid w:val="00A7221C"/>
    <w:rsid w:val="00AC0D7F"/>
    <w:rsid w:val="00AD6686"/>
    <w:rsid w:val="00AE336D"/>
    <w:rsid w:val="00B9509B"/>
    <w:rsid w:val="00BB233B"/>
    <w:rsid w:val="00C20BE9"/>
    <w:rsid w:val="00C86E78"/>
    <w:rsid w:val="00CD038B"/>
    <w:rsid w:val="00CF33CD"/>
    <w:rsid w:val="00DC654B"/>
    <w:rsid w:val="00DF0A92"/>
    <w:rsid w:val="00E076BC"/>
    <w:rsid w:val="00E30B0A"/>
    <w:rsid w:val="00E87760"/>
    <w:rsid w:val="00E95D3E"/>
    <w:rsid w:val="00EC0C4E"/>
    <w:rsid w:val="00EE4C68"/>
    <w:rsid w:val="00EE50CC"/>
    <w:rsid w:val="00F72F3D"/>
    <w:rsid w:val="00FA3E46"/>
    <w:rsid w:val="00FB11CC"/>
    <w:rsid w:val="00FC632D"/>
    <w:rsid w:val="00FE0E16"/>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003513">
      <w:bodyDiv w:val="1"/>
      <w:marLeft w:val="0"/>
      <w:marRight w:val="0"/>
      <w:marTop w:val="0"/>
      <w:marBottom w:val="0"/>
      <w:divBdr>
        <w:top w:val="none" w:sz="0" w:space="0" w:color="auto"/>
        <w:left w:val="none" w:sz="0" w:space="0" w:color="auto"/>
        <w:bottom w:val="none" w:sz="0" w:space="0" w:color="auto"/>
        <w:right w:val="none" w:sz="0" w:space="0" w:color="auto"/>
      </w:divBdr>
    </w:div>
    <w:div w:id="14058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Hurst, Karen (Corporate)</cp:lastModifiedBy>
  <cp:revision>5</cp:revision>
  <dcterms:created xsi:type="dcterms:W3CDTF">2024-08-16T13:41:00Z</dcterms:created>
  <dcterms:modified xsi:type="dcterms:W3CDTF">2024-08-20T16:43:00Z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