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26DF8BB2" w:rsidR="00816AA1" w:rsidRPr="00671B0C" w:rsidRDefault="001F3113" w:rsidP="001F3113">
      <w:pPr>
        <w:pStyle w:val="JobTitle"/>
        <w:rPr>
          <w:sz w:val="28"/>
          <w:szCs w:val="28"/>
        </w:rPr>
      </w:pPr>
      <w:r w:rsidRPr="00671B0C">
        <w:rPr>
          <w:sz w:val="28"/>
          <w:szCs w:val="28"/>
        </w:rPr>
        <w:drawing>
          <wp:anchor distT="0" distB="0" distL="114300" distR="114300" simplePos="0" relativeHeight="251656192" behindDoc="1" locked="0" layoutInCell="1" allowOverlap="1" wp14:anchorId="1A849A04" wp14:editId="1D7183F2">
            <wp:simplePos x="0" y="0"/>
            <wp:positionH relativeFrom="column">
              <wp:posOffset>-154940</wp:posOffset>
            </wp:positionH>
            <wp:positionV relativeFrom="paragraph">
              <wp:posOffset>-93980</wp:posOffset>
            </wp:positionV>
            <wp:extent cx="6565900" cy="923925"/>
            <wp:effectExtent l="0" t="0" r="635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59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sidRPr="00671B0C">
        <w:rPr>
          <w:sz w:val="28"/>
          <w:szCs w:val="28"/>
        </w:rPr>
        <w:t>Job title</w:t>
      </w:r>
      <w:r w:rsidR="00D51D8C" w:rsidRPr="00671B0C">
        <w:rPr>
          <w:sz w:val="28"/>
          <w:szCs w:val="28"/>
        </w:rPr>
        <w:t>: Community Learning Officer – Provider Management</w:t>
      </w:r>
    </w:p>
    <w:p w14:paraId="4F20251A" w14:textId="1683D6D3" w:rsidR="00161FE8" w:rsidRPr="00671B0C" w:rsidRDefault="00161FE8" w:rsidP="001F3113">
      <w:pPr>
        <w:pStyle w:val="JobTitle"/>
        <w:rPr>
          <w:sz w:val="28"/>
          <w:szCs w:val="28"/>
        </w:rPr>
      </w:pPr>
      <w:r w:rsidRPr="00671B0C">
        <w:rPr>
          <w:sz w:val="28"/>
          <w:szCs w:val="28"/>
        </w:rPr>
        <w:t>Grade</w:t>
      </w:r>
      <w:r w:rsidR="00D51D8C" w:rsidRPr="00671B0C">
        <w:rPr>
          <w:sz w:val="28"/>
          <w:szCs w:val="28"/>
        </w:rPr>
        <w:t xml:space="preserve">: 9 </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472D99C" w14:textId="77777777" w:rsidR="00D51D8C" w:rsidRDefault="00D51D8C" w:rsidP="00D51D8C">
      <w:pPr>
        <w:pStyle w:val="Body-text"/>
      </w:pPr>
      <w:r>
        <w:t xml:space="preserve">The purpose of the Skills &amp; Employability department is to improve people’s lives through learning and training, leading to employment and/or increased personal fulfilment, and to support the growth of Staffordshire’s economy and </w:t>
      </w:r>
      <w:proofErr w:type="gramStart"/>
      <w:r>
        <w:t>society;</w:t>
      </w:r>
      <w:proofErr w:type="gramEnd"/>
    </w:p>
    <w:p w14:paraId="2513132F" w14:textId="77777777" w:rsidR="00D51D8C" w:rsidRDefault="00D51D8C" w:rsidP="00D51D8C">
      <w:pPr>
        <w:pStyle w:val="Body-text"/>
        <w:numPr>
          <w:ilvl w:val="0"/>
          <w:numId w:val="17"/>
        </w:numPr>
      </w:pPr>
      <w:r>
        <w:lastRenderedPageBreak/>
        <w:t>Ensuring provision of a wide range of high-quality learning opportunities to reflect identified local needs and wishes of Staffordshire’s 16+ residents, by enabling provider partnerships and through direct delivery.</w:t>
      </w:r>
    </w:p>
    <w:p w14:paraId="67D3BFEC" w14:textId="77777777" w:rsidR="00D51D8C" w:rsidRDefault="00D51D8C" w:rsidP="00D51D8C">
      <w:pPr>
        <w:pStyle w:val="Body-text"/>
        <w:numPr>
          <w:ilvl w:val="0"/>
          <w:numId w:val="17"/>
        </w:numPr>
      </w:pPr>
      <w:r>
        <w:t>Providing support, with a focus on targeted groups, to improve participation in learning across Staffordshire.</w:t>
      </w:r>
    </w:p>
    <w:p w14:paraId="4176B65F" w14:textId="77777777" w:rsidR="00D51D8C" w:rsidRDefault="00D51D8C" w:rsidP="00D51D8C">
      <w:pPr>
        <w:pStyle w:val="Body-text"/>
        <w:numPr>
          <w:ilvl w:val="0"/>
          <w:numId w:val="17"/>
        </w:numPr>
      </w:pPr>
      <w:r>
        <w:t>Ensuring provision of work-related experience and advice to increase the employability of targeted groups and/or individuals.</w:t>
      </w:r>
    </w:p>
    <w:p w14:paraId="023F3B19" w14:textId="77777777" w:rsidR="00D51D8C" w:rsidRDefault="00D51D8C" w:rsidP="00D51D8C">
      <w:pPr>
        <w:pStyle w:val="Body-text"/>
        <w:numPr>
          <w:ilvl w:val="0"/>
          <w:numId w:val="17"/>
        </w:numPr>
      </w:pPr>
      <w:r>
        <w:t xml:space="preserve">Working with providers and partners to ensure that Staffordshire’s social, employment and economic demands are met. </w:t>
      </w:r>
    </w:p>
    <w:p w14:paraId="4ECAE6BA" w14:textId="664FC2A5" w:rsidR="00D51D8C" w:rsidRDefault="00D51D8C" w:rsidP="00D51D8C">
      <w:pPr>
        <w:pStyle w:val="Body-text"/>
      </w:pPr>
      <w:r>
        <w:t xml:space="preserve">The Community Learning Service is part of the Skills and Employability department.  The Service holds a varied portfolio of Providers and provision across Community Learning.  </w:t>
      </w:r>
      <w:r w:rsidR="00CA60A9">
        <w:t xml:space="preserve">This post is responsible for regularly reporting </w:t>
      </w:r>
      <w:r w:rsidR="00103F09">
        <w:t>on contract</w:t>
      </w:r>
      <w:r w:rsidR="002654EF">
        <w:t xml:space="preserve"> management and performance. </w:t>
      </w:r>
      <w:r>
        <w:t xml:space="preserve">  </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3ACC037D" w:rsidR="00816AA1" w:rsidRDefault="00816AA1" w:rsidP="2B77B527">
      <w:pPr>
        <w:pStyle w:val="Body-Bold"/>
      </w:pPr>
      <w:r>
        <w:t xml:space="preserve">Responsible to: </w:t>
      </w:r>
      <w:r w:rsidR="00B47AB5">
        <w:rPr>
          <w:b w:val="0"/>
          <w:bCs w:val="0"/>
        </w:rPr>
        <w:t>Head of Adult Learning &amp; Skills</w:t>
      </w:r>
    </w:p>
    <w:p w14:paraId="0ADF243F" w14:textId="77777777" w:rsidR="0041456C" w:rsidRPr="00153F0B" w:rsidRDefault="0041456C" w:rsidP="0041456C">
      <w:pPr>
        <w:pStyle w:val="Body-Bold"/>
        <w:spacing w:line="240" w:lineRule="auto"/>
      </w:pPr>
      <w:r>
        <w:t xml:space="preserve">Key Accountabilities: </w:t>
      </w:r>
    </w:p>
    <w:p w14:paraId="25EE5B21" w14:textId="161720BD" w:rsidR="00D51D8C" w:rsidRDefault="00D51D8C" w:rsidP="00D51D8C">
      <w:pPr>
        <w:pStyle w:val="Body-text"/>
        <w:numPr>
          <w:ilvl w:val="0"/>
          <w:numId w:val="20"/>
        </w:numPr>
      </w:pPr>
      <w:r w:rsidRPr="00D51D8C">
        <w:t>Contribute towards the day</w:t>
      </w:r>
      <w:r>
        <w:t>-</w:t>
      </w:r>
      <w:r w:rsidRPr="00D51D8C">
        <w:t>to</w:t>
      </w:r>
      <w:r>
        <w:t>-</w:t>
      </w:r>
      <w:r w:rsidRPr="00D51D8C">
        <w:t xml:space="preserve">day management of Community Learning provision and </w:t>
      </w:r>
      <w:r>
        <w:t>P</w:t>
      </w:r>
      <w:r w:rsidRPr="00D51D8C">
        <w:t>roviders by implementing a robust account management approach that delivers impartial scrutiny and control of sub-contracted delivery of</w:t>
      </w:r>
      <w:r>
        <w:t xml:space="preserve"> Community Learning and Multiply </w:t>
      </w:r>
      <w:r w:rsidRPr="00D51D8C">
        <w:t>programmes</w:t>
      </w:r>
      <w:r>
        <w:t>.</w:t>
      </w:r>
    </w:p>
    <w:p w14:paraId="2BA1FF55" w14:textId="17215D9C" w:rsidR="00D51D8C" w:rsidRDefault="00D51D8C" w:rsidP="00D51D8C">
      <w:pPr>
        <w:pStyle w:val="Body-text"/>
        <w:numPr>
          <w:ilvl w:val="0"/>
          <w:numId w:val="20"/>
        </w:numPr>
      </w:pPr>
      <w:r w:rsidRPr="00D51D8C">
        <w:t xml:space="preserve">Negotiate with commissioned </w:t>
      </w:r>
      <w:r>
        <w:t>P</w:t>
      </w:r>
      <w:r w:rsidRPr="00D51D8C">
        <w:t>roviders of Community Learning to ensure that the funding and resources allocated are deployed appropriately and effectively to deliver programmes and outcomes that meet Community Learning and County Council priorities and provide good value for money</w:t>
      </w:r>
      <w:r>
        <w:t>.</w:t>
      </w:r>
    </w:p>
    <w:p w14:paraId="799887D8" w14:textId="77777777" w:rsidR="00D51D8C" w:rsidRDefault="00D51D8C" w:rsidP="00D51D8C">
      <w:pPr>
        <w:pStyle w:val="Body-text"/>
        <w:numPr>
          <w:ilvl w:val="0"/>
          <w:numId w:val="20"/>
        </w:numPr>
      </w:pPr>
      <w:r>
        <w:t>M</w:t>
      </w:r>
      <w:r w:rsidRPr="00D51D8C">
        <w:t xml:space="preserve">aintain an on-going risk-based account management dialogue and relationship with an allocated portfolio of providers/provision that supports, </w:t>
      </w:r>
      <w:proofErr w:type="gramStart"/>
      <w:r w:rsidRPr="00D51D8C">
        <w:t>shapes</w:t>
      </w:r>
      <w:proofErr w:type="gramEnd"/>
      <w:r w:rsidRPr="00D51D8C">
        <w:t xml:space="preserve"> and influences the programmes and provision outcomes delivered</w:t>
      </w:r>
      <w:r>
        <w:t>.</w:t>
      </w:r>
    </w:p>
    <w:p w14:paraId="3FAF8F05" w14:textId="54C3115E" w:rsidR="00D51D8C" w:rsidRDefault="00D51D8C" w:rsidP="00D51D8C">
      <w:pPr>
        <w:pStyle w:val="Body-text"/>
        <w:numPr>
          <w:ilvl w:val="0"/>
          <w:numId w:val="20"/>
        </w:numPr>
      </w:pPr>
      <w:r>
        <w:lastRenderedPageBreak/>
        <w:t>C</w:t>
      </w:r>
      <w:r w:rsidRPr="00D51D8C">
        <w:t xml:space="preserve">ontribute towards the development and implementation of streamlined and efficient policies and procedures to manage sub-contracted or commissioned provision </w:t>
      </w:r>
      <w:r w:rsidR="006D752C" w:rsidRPr="00D51D8C">
        <w:t>to</w:t>
      </w:r>
      <w:r w:rsidRPr="00D51D8C">
        <w:t xml:space="preserve"> ensure </w:t>
      </w:r>
      <w:r w:rsidR="006D752C" w:rsidRPr="00D51D8C">
        <w:t>high-quality, cost-effective</w:t>
      </w:r>
      <w:r w:rsidRPr="00D51D8C">
        <w:t xml:space="preserve"> delivery that meets learners’ needs and is compliant with regulations</w:t>
      </w:r>
      <w:r>
        <w:t>.</w:t>
      </w:r>
    </w:p>
    <w:p w14:paraId="35A465E7" w14:textId="14F0A7F1" w:rsidR="00D51D8C" w:rsidRDefault="00D51D8C" w:rsidP="00D51D8C">
      <w:pPr>
        <w:pStyle w:val="Body-text"/>
        <w:numPr>
          <w:ilvl w:val="0"/>
          <w:numId w:val="20"/>
        </w:numPr>
      </w:pPr>
      <w:r>
        <w:t>M</w:t>
      </w:r>
      <w:r w:rsidRPr="00D51D8C">
        <w:t xml:space="preserve">anage a flexible portfolio of accounts as part of the provider management team including delivering a thematic or geographic lead as required (for example, on either informal adult learning or Multiply programmes) that meets the needs of priority groups, </w:t>
      </w:r>
      <w:r w:rsidR="006D752C" w:rsidRPr="00D51D8C">
        <w:t>communities,</w:t>
      </w:r>
      <w:r w:rsidRPr="00D51D8C">
        <w:t xml:space="preserve"> or individual learners</w:t>
      </w:r>
      <w:r>
        <w:t>.</w:t>
      </w:r>
    </w:p>
    <w:p w14:paraId="78911412" w14:textId="18355CDD" w:rsidR="00D51D8C" w:rsidRDefault="00D51D8C" w:rsidP="00D51D8C">
      <w:pPr>
        <w:pStyle w:val="Body-text"/>
        <w:numPr>
          <w:ilvl w:val="0"/>
          <w:numId w:val="20"/>
        </w:numPr>
      </w:pPr>
      <w:r>
        <w:t>U</w:t>
      </w:r>
      <w:r w:rsidRPr="00D51D8C">
        <w:t>ndertake on-site visits or other appropriate monitoring and intervention activity to ensure robust contract management and control of sub-contracted provision</w:t>
      </w:r>
      <w:r>
        <w:t>.</w:t>
      </w:r>
    </w:p>
    <w:p w14:paraId="6EAD6494" w14:textId="25813680" w:rsidR="00D51D8C" w:rsidRDefault="00D51D8C" w:rsidP="00D51D8C">
      <w:pPr>
        <w:pStyle w:val="Body-text"/>
        <w:numPr>
          <w:ilvl w:val="0"/>
          <w:numId w:val="20"/>
        </w:numPr>
      </w:pPr>
      <w:r>
        <w:t>S</w:t>
      </w:r>
      <w:r w:rsidRPr="00D51D8C">
        <w:t xml:space="preserve">upport the identification, </w:t>
      </w:r>
      <w:r w:rsidR="006D752C" w:rsidRPr="00D51D8C">
        <w:t>assessment,</w:t>
      </w:r>
      <w:r w:rsidRPr="00D51D8C">
        <w:t xml:space="preserve"> and management of risk within the service and contribute to the performance improvement objectives and strategies, working closely with other officers in the service</w:t>
      </w:r>
      <w:r>
        <w:t>.</w:t>
      </w:r>
    </w:p>
    <w:p w14:paraId="3BD5D181" w14:textId="6D3F8FEE" w:rsidR="00D51D8C" w:rsidRDefault="00D51D8C" w:rsidP="00D51D8C">
      <w:pPr>
        <w:pStyle w:val="Body-text"/>
        <w:numPr>
          <w:ilvl w:val="0"/>
          <w:numId w:val="20"/>
        </w:numPr>
      </w:pPr>
      <w:r>
        <w:t>S</w:t>
      </w:r>
      <w:r w:rsidRPr="00D51D8C">
        <w:t xml:space="preserve">upport the maintenance </w:t>
      </w:r>
      <w:r w:rsidR="005D6BC4" w:rsidRPr="00D51D8C">
        <w:t>of records</w:t>
      </w:r>
      <w:r w:rsidRPr="00D51D8C">
        <w:t xml:space="preserve"> and management information for the purposes of inspection and management reporting, and to extract key messages and intelligence to inform service development and responsiveness to meeting the needs of learners and communities</w:t>
      </w:r>
      <w:r>
        <w:t>.</w:t>
      </w:r>
      <w:r w:rsidRPr="00D51D8C">
        <w:t xml:space="preserve"> </w:t>
      </w:r>
    </w:p>
    <w:p w14:paraId="229AAD50" w14:textId="77777777" w:rsidR="005D6BC4" w:rsidRDefault="005D6BC4" w:rsidP="005D6BC4">
      <w:pPr>
        <w:pStyle w:val="Body-text"/>
        <w:numPr>
          <w:ilvl w:val="0"/>
          <w:numId w:val="20"/>
        </w:numPr>
      </w:pPr>
      <w:r>
        <w:t>P</w:t>
      </w:r>
      <w:r w:rsidR="00D51D8C" w:rsidRPr="00D51D8C">
        <w:t>romote and support partnership working and collaboration through appropriate networks both locally and wider, where this contributes to improved service delivery</w:t>
      </w:r>
      <w:r>
        <w:t>.</w:t>
      </w:r>
    </w:p>
    <w:p w14:paraId="720130E7" w14:textId="77777777" w:rsidR="005D6BC4" w:rsidRDefault="005D6BC4" w:rsidP="005D6BC4">
      <w:pPr>
        <w:pStyle w:val="Body-text"/>
        <w:numPr>
          <w:ilvl w:val="0"/>
          <w:numId w:val="20"/>
        </w:numPr>
      </w:pPr>
      <w:r>
        <w:t>P</w:t>
      </w:r>
      <w:r w:rsidR="00D51D8C" w:rsidRPr="00D51D8C">
        <w:t>rovide support and capacity for the management and monitoring of projects or development activity for Community Learning as and when required, and any other duties appropriate to the role</w:t>
      </w:r>
      <w:r>
        <w:t>.</w:t>
      </w:r>
    </w:p>
    <w:p w14:paraId="1A7C8501" w14:textId="3E8CDFE4" w:rsidR="00D51D8C" w:rsidRPr="00D51D8C" w:rsidRDefault="005D6BC4" w:rsidP="005D6BC4">
      <w:pPr>
        <w:pStyle w:val="Body-text"/>
        <w:numPr>
          <w:ilvl w:val="0"/>
          <w:numId w:val="20"/>
        </w:numPr>
      </w:pPr>
      <w:r>
        <w:t>S</w:t>
      </w:r>
      <w:r w:rsidR="00D51D8C" w:rsidRPr="00D51D8C">
        <w:t>upport market management and the responsiveness and diversity of the provider base by engaging with a wide range of providers including the voluntary and community sector; including promotion and communication activity as and when required</w:t>
      </w:r>
      <w:r>
        <w:t>.</w:t>
      </w:r>
    </w:p>
    <w:p w14:paraId="65B575FA" w14:textId="4AABDE63" w:rsidR="0041456C" w:rsidRDefault="0041456C" w:rsidP="005D6BC4">
      <w:pPr>
        <w:pStyle w:val="Body-Bold"/>
        <w:ind w:left="360"/>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5807C1A8"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438B8B44" w:rsidR="0041456C" w:rsidRPr="0041456C" w:rsidRDefault="005D6BC4" w:rsidP="0041456C">
            <w:pPr>
              <w:jc w:val="center"/>
              <w:rPr>
                <w:rFonts w:ascii="Gill Sans MT" w:eastAsia="Gill Sans MT" w:hAnsi="Gill Sans MT" w:cs="Arial"/>
              </w:rPr>
            </w:pPr>
            <w:r>
              <w:rPr>
                <w:rFonts w:ascii="Gill Sans MT" w:eastAsia="Gill Sans MT" w:hAnsi="Gill Sans MT" w:cs="Arial"/>
                <w:noProof/>
              </w:rPr>
              <w:drawing>
                <wp:inline distT="0" distB="0" distL="0" distR="0" wp14:anchorId="47E43623" wp14:editId="4C1B0494">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41456C"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54B0EB27"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23A2CE2" w14:textId="77777777" w:rsidR="005D6BC4" w:rsidRPr="0041456C" w:rsidRDefault="005D6BC4" w:rsidP="0041456C">
            <w:pPr>
              <w:spacing w:after="0" w:line="240" w:lineRule="auto"/>
              <w:jc w:val="both"/>
              <w:rPr>
                <w:rFonts w:ascii="Gill Sans MT" w:eastAsia="Gill Sans MT" w:hAnsi="Gill Sans MT" w:cs="Arial"/>
                <w:b/>
                <w:sz w:val="24"/>
                <w:szCs w:val="24"/>
                <w:lang w:val="en-GB"/>
              </w:rPr>
            </w:pPr>
          </w:p>
          <w:p w14:paraId="1EEBF2BB" w14:textId="2CD89B4A" w:rsidR="005D6BC4" w:rsidRPr="005D6BC4" w:rsidRDefault="005D6BC4" w:rsidP="00A82874">
            <w:pPr>
              <w:numPr>
                <w:ilvl w:val="0"/>
                <w:numId w:val="18"/>
              </w:numPr>
              <w:tabs>
                <w:tab w:val="clear" w:pos="720"/>
                <w:tab w:val="num" w:pos="146"/>
              </w:tabs>
              <w:spacing w:after="0" w:line="240" w:lineRule="auto"/>
              <w:ind w:left="737" w:hanging="284"/>
              <w:jc w:val="both"/>
              <w:rPr>
                <w:rFonts w:ascii="Arial" w:hAnsi="Arial"/>
                <w:sz w:val="24"/>
                <w:szCs w:val="24"/>
              </w:rPr>
            </w:pPr>
            <w:r w:rsidRPr="005D6BC4">
              <w:rPr>
                <w:rFonts w:ascii="Arial" w:hAnsi="Arial"/>
                <w:sz w:val="24"/>
                <w:szCs w:val="24"/>
              </w:rPr>
              <w:t>Degree or equivalent experience</w:t>
            </w:r>
          </w:p>
          <w:p w14:paraId="0CCA40C6" w14:textId="77777777" w:rsidR="005D6BC4" w:rsidRPr="005D6BC4" w:rsidRDefault="005D6BC4" w:rsidP="00A82874">
            <w:pPr>
              <w:spacing w:after="0" w:line="240" w:lineRule="auto"/>
              <w:ind w:left="737" w:hanging="284"/>
              <w:jc w:val="both"/>
              <w:rPr>
                <w:rFonts w:ascii="Arial" w:hAnsi="Arial"/>
                <w:sz w:val="24"/>
                <w:szCs w:val="24"/>
              </w:rPr>
            </w:pPr>
          </w:p>
          <w:p w14:paraId="5CCBBFA8" w14:textId="120413C5" w:rsidR="005D6BC4" w:rsidRPr="005D6BC4" w:rsidRDefault="005D6BC4" w:rsidP="00A82874">
            <w:pPr>
              <w:numPr>
                <w:ilvl w:val="0"/>
                <w:numId w:val="18"/>
              </w:numPr>
              <w:tabs>
                <w:tab w:val="clear" w:pos="720"/>
                <w:tab w:val="num" w:pos="146"/>
              </w:tabs>
              <w:spacing w:after="0" w:line="240" w:lineRule="auto"/>
              <w:ind w:left="737" w:hanging="284"/>
              <w:jc w:val="both"/>
              <w:rPr>
                <w:rFonts w:ascii="Arial" w:hAnsi="Arial"/>
                <w:sz w:val="24"/>
                <w:szCs w:val="24"/>
              </w:rPr>
            </w:pPr>
            <w:r w:rsidRPr="005D6BC4">
              <w:rPr>
                <w:rFonts w:ascii="Arial" w:hAnsi="Arial"/>
                <w:sz w:val="24"/>
                <w:szCs w:val="24"/>
              </w:rPr>
              <w:t>Full teaching qualification e</w:t>
            </w:r>
            <w:r w:rsidR="00ED655F">
              <w:rPr>
                <w:rFonts w:ascii="Arial" w:hAnsi="Arial"/>
                <w:sz w:val="24"/>
                <w:szCs w:val="24"/>
              </w:rPr>
              <w:t>.</w:t>
            </w:r>
            <w:r w:rsidRPr="005D6BC4">
              <w:rPr>
                <w:rFonts w:ascii="Arial" w:hAnsi="Arial"/>
                <w:sz w:val="24"/>
                <w:szCs w:val="24"/>
              </w:rPr>
              <w:t>g</w:t>
            </w:r>
            <w:r w:rsidR="00ED655F">
              <w:rPr>
                <w:rFonts w:ascii="Arial" w:hAnsi="Arial"/>
                <w:sz w:val="24"/>
                <w:szCs w:val="24"/>
              </w:rPr>
              <w:t>.,</w:t>
            </w:r>
            <w:r w:rsidRPr="005D6BC4">
              <w:rPr>
                <w:rFonts w:ascii="Arial" w:hAnsi="Arial"/>
                <w:sz w:val="24"/>
                <w:szCs w:val="24"/>
              </w:rPr>
              <w:t xml:space="preserve"> PGCE, Cert ED or equivalent</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7790650D" w14:textId="65FA0E02" w:rsidR="0041456C" w:rsidRPr="005D6BC4" w:rsidRDefault="005D6BC4" w:rsidP="005D6BC4">
            <w:pPr>
              <w:jc w:val="center"/>
              <w:rPr>
                <w:rFonts w:ascii="Arial" w:eastAsia="Gill Sans MT" w:hAnsi="Arial" w:cs="Arial"/>
                <w:sz w:val="24"/>
                <w:szCs w:val="24"/>
              </w:rPr>
            </w:pPr>
            <w:r w:rsidRPr="005D6BC4">
              <w:rPr>
                <w:rFonts w:ascii="Arial" w:eastAsia="Gill Sans MT" w:hAnsi="Arial" w:cs="Arial"/>
                <w:sz w:val="24"/>
                <w:szCs w:val="24"/>
              </w:rPr>
              <w:t>A</w:t>
            </w:r>
          </w:p>
          <w:p w14:paraId="4FA5215D" w14:textId="79818AE5" w:rsidR="005D6BC4" w:rsidRPr="0041456C" w:rsidRDefault="005D6BC4" w:rsidP="005D6BC4">
            <w:pPr>
              <w:jc w:val="center"/>
              <w:rPr>
                <w:rFonts w:ascii="Gill Sans MT" w:eastAsia="Gill Sans MT" w:hAnsi="Gill Sans MT"/>
              </w:rPr>
            </w:pPr>
            <w:r w:rsidRPr="005D6BC4">
              <w:rPr>
                <w:rFonts w:ascii="Arial" w:eastAsia="Gill Sans MT" w:hAnsi="Arial" w:cs="Arial"/>
                <w:sz w:val="24"/>
                <w:szCs w:val="24"/>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359796CA" w:rsidR="0041456C" w:rsidRPr="0041456C" w:rsidRDefault="005D6BC4" w:rsidP="0041456C">
            <w:pPr>
              <w:jc w:val="center"/>
              <w:rPr>
                <w:rFonts w:ascii="Gill Sans MT" w:eastAsia="Gill Sans MT" w:hAnsi="Gill Sans MT"/>
              </w:rPr>
            </w:pPr>
            <w:r>
              <w:rPr>
                <w:rFonts w:ascii="Gill Sans MT" w:eastAsia="Gill Sans MT" w:hAnsi="Gill Sans MT"/>
                <w:noProof/>
              </w:rPr>
              <w:drawing>
                <wp:inline distT="0" distB="0" distL="0" distR="0" wp14:anchorId="35DA043A" wp14:editId="6BFBCA95">
                  <wp:extent cx="499745" cy="243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2EEA3845" w14:textId="77777777" w:rsidR="0041456C" w:rsidRPr="0041456C" w:rsidRDefault="0041456C" w:rsidP="0041456C">
            <w:pPr>
              <w:jc w:val="center"/>
              <w:rPr>
                <w:rFonts w:ascii="Gill Sans MT" w:eastAsia="Gill Sans MT" w:hAnsi="Gill Sans MT"/>
              </w:rPr>
            </w:pPr>
          </w:p>
          <w:p w14:paraId="6A7D8A37" w14:textId="59672C15" w:rsidR="0041456C" w:rsidRPr="0041456C" w:rsidRDefault="005D6BC4" w:rsidP="0041456C">
            <w:pPr>
              <w:jc w:val="center"/>
              <w:rPr>
                <w:rFonts w:ascii="Gill Sans MT" w:eastAsia="Gill Sans MT" w:hAnsi="Gill Sans MT"/>
              </w:rPr>
            </w:pPr>
            <w:r>
              <w:rPr>
                <w:rFonts w:ascii="Gill Sans MT" w:eastAsia="Gill Sans MT" w:hAnsi="Gill Sans MT"/>
                <w:noProof/>
              </w:rPr>
              <w:drawing>
                <wp:inline distT="0" distB="0" distL="0" distR="0" wp14:anchorId="1CB221AE" wp14:editId="02B5EBB7">
                  <wp:extent cx="499745" cy="243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6D2C4BB0" w14:textId="6613050F" w:rsidR="0041456C" w:rsidRPr="0041456C" w:rsidRDefault="005D6BC4" w:rsidP="0041456C">
            <w:pPr>
              <w:jc w:val="center"/>
              <w:rPr>
                <w:rFonts w:ascii="Gill Sans MT" w:eastAsia="Gill Sans MT" w:hAnsi="Gill Sans MT"/>
              </w:rPr>
            </w:pPr>
            <w:r>
              <w:rPr>
                <w:rFonts w:ascii="Gill Sans MT" w:eastAsia="Gill Sans MT" w:hAnsi="Gill Sans MT"/>
                <w:noProof/>
              </w:rPr>
              <w:drawing>
                <wp:anchor distT="0" distB="0" distL="114300" distR="114300" simplePos="0" relativeHeight="251657216" behindDoc="0" locked="0" layoutInCell="1" allowOverlap="1" wp14:anchorId="08326290" wp14:editId="4D76395F">
                  <wp:simplePos x="0" y="0"/>
                  <wp:positionH relativeFrom="column">
                    <wp:posOffset>126365</wp:posOffset>
                  </wp:positionH>
                  <wp:positionV relativeFrom="paragraph">
                    <wp:posOffset>1054735</wp:posOffset>
                  </wp:positionV>
                  <wp:extent cx="499745" cy="24384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anchor>
              </w:drawing>
            </w:r>
          </w:p>
        </w:tc>
        <w:tc>
          <w:tcPr>
            <w:tcW w:w="7440" w:type="dxa"/>
          </w:tcPr>
          <w:p w14:paraId="57609014" w14:textId="73FA93E3" w:rsidR="0041456C" w:rsidRDefault="0041456C" w:rsidP="0041456C">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6F085197" w14:textId="2D2EFDE0" w:rsidR="005D6BC4" w:rsidRDefault="005D6BC4" w:rsidP="0041456C">
            <w:pPr>
              <w:spacing w:after="0" w:line="240" w:lineRule="auto"/>
              <w:jc w:val="both"/>
              <w:rPr>
                <w:rFonts w:ascii="Gill Sans MT" w:eastAsia="Gill Sans MT" w:hAnsi="Gill Sans MT" w:cs="Arial"/>
                <w:b/>
                <w:bCs/>
                <w:sz w:val="24"/>
                <w:szCs w:val="24"/>
                <w:lang w:val="en-GB"/>
              </w:rPr>
            </w:pPr>
          </w:p>
          <w:p w14:paraId="7ECE4320" w14:textId="1CE7AE73" w:rsidR="005D6BC4" w:rsidRPr="005D6BC4" w:rsidRDefault="005D6BC4" w:rsidP="005D6BC4">
            <w:pPr>
              <w:pStyle w:val="ListParagraph"/>
              <w:numPr>
                <w:ilvl w:val="0"/>
                <w:numId w:val="22"/>
              </w:numPr>
              <w:spacing w:after="0" w:line="240" w:lineRule="auto"/>
              <w:jc w:val="both"/>
              <w:rPr>
                <w:rFonts w:ascii="Arial" w:eastAsia="Gill Sans MT" w:hAnsi="Arial" w:cs="Arial"/>
                <w:bCs/>
                <w:sz w:val="24"/>
                <w:szCs w:val="24"/>
                <w:lang w:val="en-GB"/>
              </w:rPr>
            </w:pPr>
            <w:r w:rsidRPr="005D6BC4">
              <w:rPr>
                <w:rFonts w:ascii="Arial" w:eastAsia="Gill Sans MT" w:hAnsi="Arial" w:cs="Arial"/>
                <w:bCs/>
                <w:sz w:val="24"/>
                <w:szCs w:val="24"/>
                <w:lang w:val="en-GB"/>
              </w:rPr>
              <w:t xml:space="preserve">Experience of managing Community Learning provision and programmes. </w:t>
            </w:r>
          </w:p>
          <w:p w14:paraId="7F1C31B0" w14:textId="77777777" w:rsidR="005D6BC4" w:rsidRPr="005D6BC4" w:rsidRDefault="005D6BC4" w:rsidP="005D6BC4">
            <w:pPr>
              <w:pStyle w:val="ListParagraph"/>
              <w:spacing w:after="0" w:line="240" w:lineRule="auto"/>
              <w:jc w:val="both"/>
              <w:rPr>
                <w:rFonts w:ascii="Arial" w:eastAsia="Gill Sans MT" w:hAnsi="Arial" w:cs="Arial"/>
                <w:bCs/>
                <w:sz w:val="24"/>
                <w:szCs w:val="24"/>
                <w:lang w:val="en-GB"/>
              </w:rPr>
            </w:pPr>
          </w:p>
          <w:p w14:paraId="4A6251D7" w14:textId="5CD0ACB7" w:rsidR="005D6BC4" w:rsidRPr="005D6BC4" w:rsidRDefault="005D6BC4" w:rsidP="005D6BC4">
            <w:pPr>
              <w:pStyle w:val="ListParagraph"/>
              <w:numPr>
                <w:ilvl w:val="0"/>
                <w:numId w:val="22"/>
              </w:numPr>
              <w:spacing w:after="0" w:line="240" w:lineRule="auto"/>
              <w:jc w:val="both"/>
              <w:rPr>
                <w:rFonts w:ascii="Arial" w:eastAsia="Gill Sans MT" w:hAnsi="Arial" w:cs="Arial"/>
                <w:bCs/>
                <w:sz w:val="24"/>
                <w:szCs w:val="24"/>
                <w:lang w:val="en-GB"/>
              </w:rPr>
            </w:pPr>
            <w:r w:rsidRPr="005D6BC4">
              <w:rPr>
                <w:rFonts w:ascii="Arial" w:eastAsia="Gill Sans MT" w:hAnsi="Arial" w:cs="Arial"/>
                <w:bCs/>
                <w:sz w:val="24"/>
                <w:szCs w:val="24"/>
                <w:lang w:val="en-GB"/>
              </w:rPr>
              <w:t xml:space="preserve">Detailed knowledge of the funding regulation and guidance, inspection requirements and the accountability regime covering Adult Learning. </w:t>
            </w:r>
          </w:p>
          <w:p w14:paraId="3A5B42A3" w14:textId="77777777" w:rsidR="005D6BC4" w:rsidRPr="005D6BC4" w:rsidRDefault="005D6BC4" w:rsidP="005D6BC4">
            <w:pPr>
              <w:pStyle w:val="ListParagraph"/>
              <w:rPr>
                <w:rFonts w:ascii="Arial" w:eastAsia="Gill Sans MT" w:hAnsi="Arial" w:cs="Arial"/>
                <w:bCs/>
                <w:sz w:val="24"/>
                <w:szCs w:val="24"/>
                <w:lang w:val="en-GB"/>
              </w:rPr>
            </w:pPr>
          </w:p>
          <w:p w14:paraId="4C7EDFC4" w14:textId="3B88213F" w:rsidR="005D6BC4" w:rsidRPr="005D6BC4" w:rsidRDefault="005D6BC4" w:rsidP="005D6BC4">
            <w:pPr>
              <w:pStyle w:val="ListParagraph"/>
              <w:numPr>
                <w:ilvl w:val="0"/>
                <w:numId w:val="22"/>
              </w:numPr>
              <w:spacing w:after="0" w:line="240" w:lineRule="auto"/>
              <w:jc w:val="both"/>
              <w:rPr>
                <w:rFonts w:ascii="Arial" w:eastAsia="Gill Sans MT" w:hAnsi="Arial" w:cs="Arial"/>
                <w:bCs/>
                <w:sz w:val="24"/>
                <w:szCs w:val="24"/>
                <w:lang w:val="en-GB"/>
              </w:rPr>
            </w:pPr>
            <w:r w:rsidRPr="005D6BC4">
              <w:rPr>
                <w:rFonts w:ascii="Arial" w:eastAsia="Gill Sans MT" w:hAnsi="Arial" w:cs="Arial"/>
                <w:bCs/>
                <w:sz w:val="24"/>
                <w:szCs w:val="24"/>
                <w:lang w:val="en-GB"/>
              </w:rPr>
              <w:t xml:space="preserve">Experience of managing contracts using a risk-based approach to assurance, accountability, </w:t>
            </w:r>
            <w:proofErr w:type="gramStart"/>
            <w:r w:rsidRPr="005D6BC4">
              <w:rPr>
                <w:rFonts w:ascii="Arial" w:eastAsia="Gill Sans MT" w:hAnsi="Arial" w:cs="Arial"/>
                <w:bCs/>
                <w:sz w:val="24"/>
                <w:szCs w:val="24"/>
                <w:lang w:val="en-GB"/>
              </w:rPr>
              <w:t>improvement</w:t>
            </w:r>
            <w:proofErr w:type="gramEnd"/>
            <w:r w:rsidRPr="005D6BC4">
              <w:rPr>
                <w:rFonts w:ascii="Arial" w:eastAsia="Gill Sans MT" w:hAnsi="Arial" w:cs="Arial"/>
                <w:bCs/>
                <w:sz w:val="24"/>
                <w:szCs w:val="24"/>
                <w:lang w:val="en-GB"/>
              </w:rPr>
              <w:t xml:space="preserve"> and intervention. </w:t>
            </w:r>
          </w:p>
          <w:p w14:paraId="1C09D870" w14:textId="77777777" w:rsidR="005D6BC4" w:rsidRPr="005D6BC4" w:rsidRDefault="005D6BC4" w:rsidP="005D6BC4">
            <w:pPr>
              <w:pStyle w:val="ListParagraph"/>
              <w:rPr>
                <w:rFonts w:ascii="Arial" w:eastAsia="Gill Sans MT" w:hAnsi="Arial" w:cs="Arial"/>
                <w:bCs/>
                <w:sz w:val="24"/>
                <w:szCs w:val="24"/>
                <w:lang w:val="en-GB"/>
              </w:rPr>
            </w:pPr>
          </w:p>
          <w:p w14:paraId="70703764" w14:textId="65F8EFC6" w:rsidR="005D6BC4" w:rsidRPr="005D6BC4" w:rsidRDefault="005D6BC4" w:rsidP="005D6BC4">
            <w:pPr>
              <w:pStyle w:val="ListParagraph"/>
              <w:numPr>
                <w:ilvl w:val="0"/>
                <w:numId w:val="22"/>
              </w:numPr>
              <w:spacing w:after="0" w:line="240" w:lineRule="auto"/>
              <w:jc w:val="both"/>
              <w:rPr>
                <w:rFonts w:ascii="Arial" w:eastAsia="Gill Sans MT" w:hAnsi="Arial" w:cs="Arial"/>
                <w:bCs/>
                <w:sz w:val="24"/>
                <w:szCs w:val="24"/>
                <w:lang w:val="en-GB"/>
              </w:rPr>
            </w:pPr>
            <w:r w:rsidRPr="005D6BC4">
              <w:rPr>
                <w:rFonts w:ascii="Arial" w:eastAsia="Gill Sans MT" w:hAnsi="Arial" w:cs="Arial"/>
                <w:bCs/>
                <w:sz w:val="24"/>
                <w:szCs w:val="24"/>
                <w:lang w:val="en-GB"/>
              </w:rPr>
              <w:t>Experience of working with leaders and manager in a range of settings (schools, colleges, voluntary and community organisations, independent training providers).</w:t>
            </w:r>
          </w:p>
          <w:p w14:paraId="75CAF202" w14:textId="77777777" w:rsidR="005D6BC4" w:rsidRPr="005D6BC4" w:rsidRDefault="005D6BC4" w:rsidP="005D6BC4">
            <w:pPr>
              <w:pStyle w:val="ListParagraph"/>
              <w:rPr>
                <w:rFonts w:ascii="Arial" w:eastAsia="Gill Sans MT" w:hAnsi="Arial" w:cs="Arial"/>
                <w:bCs/>
                <w:sz w:val="24"/>
                <w:szCs w:val="24"/>
                <w:lang w:val="en-GB"/>
              </w:rPr>
            </w:pPr>
          </w:p>
          <w:p w14:paraId="1A1369B5" w14:textId="69F3DBA8" w:rsidR="005D6BC4" w:rsidRPr="005D6BC4" w:rsidRDefault="005D6BC4" w:rsidP="005D6BC4">
            <w:pPr>
              <w:pStyle w:val="ListParagraph"/>
              <w:numPr>
                <w:ilvl w:val="0"/>
                <w:numId w:val="22"/>
              </w:numPr>
              <w:spacing w:after="0" w:line="240" w:lineRule="auto"/>
              <w:jc w:val="both"/>
              <w:rPr>
                <w:rFonts w:ascii="Arial" w:eastAsia="Gill Sans MT" w:hAnsi="Arial" w:cs="Arial"/>
                <w:bCs/>
                <w:sz w:val="24"/>
                <w:szCs w:val="24"/>
                <w:lang w:val="en-GB"/>
              </w:rPr>
            </w:pPr>
            <w:r w:rsidRPr="005D6BC4">
              <w:rPr>
                <w:rFonts w:ascii="Arial" w:eastAsia="Gill Sans MT" w:hAnsi="Arial" w:cs="Arial"/>
                <w:bCs/>
                <w:sz w:val="24"/>
                <w:szCs w:val="24"/>
                <w:lang w:val="en-GB"/>
              </w:rPr>
              <w:t xml:space="preserve">Knowledge of commissioning processes and principles to underpin service design and delivery and to assure high quality outcomes. </w:t>
            </w:r>
          </w:p>
          <w:p w14:paraId="186B0F1C" w14:textId="23C61D7F" w:rsidR="005D6BC4" w:rsidRPr="0041456C" w:rsidRDefault="005D6BC4" w:rsidP="005D6BC4">
            <w:pPr>
              <w:spacing w:after="0" w:line="240" w:lineRule="auto"/>
              <w:jc w:val="both"/>
              <w:rPr>
                <w:rFonts w:ascii="Arial" w:hAnsi="Arial"/>
              </w:rPr>
            </w:pPr>
          </w:p>
        </w:tc>
        <w:tc>
          <w:tcPr>
            <w:tcW w:w="1946" w:type="dxa"/>
          </w:tcPr>
          <w:p w14:paraId="7EF60C99" w14:textId="77777777" w:rsidR="0041456C" w:rsidRDefault="0041456C" w:rsidP="0041456C">
            <w:pPr>
              <w:rPr>
                <w:rFonts w:ascii="Gill Sans MT" w:eastAsia="Gill Sans MT" w:hAnsi="Gill Sans MT"/>
              </w:rPr>
            </w:pPr>
          </w:p>
          <w:p w14:paraId="34B07AAE" w14:textId="77777777" w:rsidR="005D6BC4" w:rsidRPr="005D6BC4" w:rsidRDefault="005D6BC4" w:rsidP="005D6BC4">
            <w:pPr>
              <w:jc w:val="center"/>
              <w:rPr>
                <w:rFonts w:ascii="Arial" w:eastAsia="Gill Sans MT" w:hAnsi="Arial" w:cs="Arial"/>
                <w:sz w:val="24"/>
                <w:szCs w:val="24"/>
              </w:rPr>
            </w:pPr>
            <w:r w:rsidRPr="005D6BC4">
              <w:rPr>
                <w:rFonts w:ascii="Arial" w:eastAsia="Gill Sans MT" w:hAnsi="Arial" w:cs="Arial"/>
                <w:sz w:val="24"/>
                <w:szCs w:val="24"/>
              </w:rPr>
              <w:t>A/I</w:t>
            </w:r>
          </w:p>
          <w:p w14:paraId="6DAC6B46" w14:textId="77777777" w:rsidR="005D6BC4" w:rsidRPr="005D6BC4" w:rsidRDefault="005D6BC4" w:rsidP="005D6BC4">
            <w:pPr>
              <w:jc w:val="center"/>
              <w:rPr>
                <w:rFonts w:ascii="Arial" w:eastAsia="Gill Sans MT" w:hAnsi="Arial" w:cs="Arial"/>
                <w:sz w:val="24"/>
                <w:szCs w:val="24"/>
              </w:rPr>
            </w:pPr>
          </w:p>
          <w:p w14:paraId="55F98C15" w14:textId="77777777" w:rsidR="005D6BC4" w:rsidRPr="005D6BC4" w:rsidRDefault="005D6BC4" w:rsidP="005D6BC4">
            <w:pPr>
              <w:jc w:val="center"/>
              <w:rPr>
                <w:rFonts w:ascii="Arial" w:eastAsia="Gill Sans MT" w:hAnsi="Arial" w:cs="Arial"/>
                <w:sz w:val="24"/>
                <w:szCs w:val="24"/>
              </w:rPr>
            </w:pPr>
            <w:r w:rsidRPr="005D6BC4">
              <w:rPr>
                <w:rFonts w:ascii="Arial" w:eastAsia="Gill Sans MT" w:hAnsi="Arial" w:cs="Arial"/>
                <w:sz w:val="24"/>
                <w:szCs w:val="24"/>
              </w:rPr>
              <w:t>A/I</w:t>
            </w:r>
          </w:p>
          <w:p w14:paraId="042CB893" w14:textId="77777777" w:rsidR="005D6BC4" w:rsidRPr="005D6BC4" w:rsidRDefault="005D6BC4" w:rsidP="005D6BC4">
            <w:pPr>
              <w:jc w:val="center"/>
              <w:rPr>
                <w:rFonts w:ascii="Arial" w:eastAsia="Gill Sans MT" w:hAnsi="Arial" w:cs="Arial"/>
                <w:sz w:val="24"/>
                <w:szCs w:val="24"/>
              </w:rPr>
            </w:pPr>
          </w:p>
          <w:p w14:paraId="3350BCE9" w14:textId="77777777" w:rsidR="005D6BC4" w:rsidRPr="005D6BC4" w:rsidRDefault="005D6BC4" w:rsidP="005D6BC4">
            <w:pPr>
              <w:jc w:val="center"/>
              <w:rPr>
                <w:rFonts w:ascii="Arial" w:eastAsia="Gill Sans MT" w:hAnsi="Arial" w:cs="Arial"/>
                <w:sz w:val="24"/>
                <w:szCs w:val="24"/>
              </w:rPr>
            </w:pPr>
          </w:p>
          <w:p w14:paraId="3980CB18" w14:textId="77777777" w:rsidR="005D6BC4" w:rsidRPr="005D6BC4" w:rsidRDefault="005D6BC4" w:rsidP="005D6BC4">
            <w:pPr>
              <w:jc w:val="center"/>
              <w:rPr>
                <w:rFonts w:ascii="Arial" w:eastAsia="Gill Sans MT" w:hAnsi="Arial" w:cs="Arial"/>
                <w:sz w:val="24"/>
                <w:szCs w:val="24"/>
              </w:rPr>
            </w:pPr>
            <w:r w:rsidRPr="005D6BC4">
              <w:rPr>
                <w:rFonts w:ascii="Arial" w:eastAsia="Gill Sans MT" w:hAnsi="Arial" w:cs="Arial"/>
                <w:sz w:val="24"/>
                <w:szCs w:val="24"/>
              </w:rPr>
              <w:t>A/I</w:t>
            </w:r>
          </w:p>
          <w:p w14:paraId="12032CC1" w14:textId="77777777" w:rsidR="005D6BC4" w:rsidRPr="005D6BC4" w:rsidRDefault="005D6BC4" w:rsidP="005D6BC4">
            <w:pPr>
              <w:jc w:val="center"/>
              <w:rPr>
                <w:rFonts w:ascii="Arial" w:eastAsia="Gill Sans MT" w:hAnsi="Arial" w:cs="Arial"/>
                <w:sz w:val="24"/>
                <w:szCs w:val="24"/>
              </w:rPr>
            </w:pPr>
          </w:p>
          <w:p w14:paraId="20F40ECD" w14:textId="77777777" w:rsidR="005D6BC4" w:rsidRPr="005D6BC4" w:rsidRDefault="005D6BC4" w:rsidP="005D6BC4">
            <w:pPr>
              <w:jc w:val="center"/>
              <w:rPr>
                <w:rFonts w:ascii="Arial" w:eastAsia="Gill Sans MT" w:hAnsi="Arial" w:cs="Arial"/>
                <w:sz w:val="24"/>
                <w:szCs w:val="24"/>
              </w:rPr>
            </w:pPr>
            <w:r w:rsidRPr="005D6BC4">
              <w:rPr>
                <w:rFonts w:ascii="Arial" w:eastAsia="Gill Sans MT" w:hAnsi="Arial" w:cs="Arial"/>
                <w:sz w:val="24"/>
                <w:szCs w:val="24"/>
              </w:rPr>
              <w:t>A/I</w:t>
            </w:r>
          </w:p>
          <w:p w14:paraId="6C6951F7" w14:textId="77777777" w:rsidR="005D6BC4" w:rsidRPr="005D6BC4" w:rsidRDefault="005D6BC4" w:rsidP="005D6BC4">
            <w:pPr>
              <w:jc w:val="center"/>
              <w:rPr>
                <w:rFonts w:ascii="Arial" w:eastAsia="Gill Sans MT" w:hAnsi="Arial" w:cs="Arial"/>
                <w:sz w:val="24"/>
                <w:szCs w:val="24"/>
              </w:rPr>
            </w:pPr>
          </w:p>
          <w:p w14:paraId="73459890" w14:textId="2D3F78E2" w:rsidR="005D6BC4" w:rsidRPr="0041456C" w:rsidRDefault="005D6BC4" w:rsidP="005D6BC4">
            <w:pPr>
              <w:jc w:val="center"/>
              <w:rPr>
                <w:rFonts w:ascii="Gill Sans MT" w:eastAsia="Gill Sans MT" w:hAnsi="Gill Sans MT"/>
              </w:rPr>
            </w:pPr>
            <w:r w:rsidRPr="005D6BC4">
              <w:rPr>
                <w:rFonts w:ascii="Arial" w:eastAsia="Gill Sans MT" w:hAnsi="Arial" w:cs="Arial"/>
                <w:sz w:val="24"/>
                <w:szCs w:val="24"/>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12596495" w:rsidR="0041456C" w:rsidRPr="0041456C" w:rsidRDefault="005D6BC4" w:rsidP="0041456C">
            <w:pPr>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59264" behindDoc="0" locked="0" layoutInCell="1" allowOverlap="1" wp14:anchorId="2A237F0D" wp14:editId="7D958530">
                  <wp:simplePos x="0" y="0"/>
                  <wp:positionH relativeFrom="column">
                    <wp:posOffset>50165</wp:posOffset>
                  </wp:positionH>
                  <wp:positionV relativeFrom="paragraph">
                    <wp:posOffset>640715</wp:posOffset>
                  </wp:positionV>
                  <wp:extent cx="501015" cy="243205"/>
                  <wp:effectExtent l="0" t="0" r="0" b="4445"/>
                  <wp:wrapSquare wrapText="bothSides"/>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Pr>
                <w:rFonts w:ascii="Gill Sans MT" w:eastAsia="Gill Sans MT" w:hAnsi="Gill Sans MT"/>
                <w:b/>
                <w:noProof/>
              </w:rPr>
              <w:drawing>
                <wp:inline distT="0" distB="0" distL="0" distR="0" wp14:anchorId="03130281" wp14:editId="6F61C152">
                  <wp:extent cx="499745" cy="243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131153F" w14:textId="77777777" w:rsidR="005D6BC4" w:rsidRDefault="005D6BC4" w:rsidP="0020240C">
            <w:pPr>
              <w:jc w:val="both"/>
              <w:rPr>
                <w:rFonts w:ascii="Arial" w:hAnsi="Arial"/>
              </w:rPr>
            </w:pPr>
          </w:p>
          <w:p w14:paraId="7B2ACF01" w14:textId="5FA5487B" w:rsidR="005D6BC4" w:rsidRDefault="005D6BC4" w:rsidP="005D6BC4">
            <w:pPr>
              <w:pStyle w:val="ListParagraph"/>
              <w:numPr>
                <w:ilvl w:val="0"/>
                <w:numId w:val="23"/>
              </w:numPr>
              <w:jc w:val="both"/>
              <w:rPr>
                <w:rFonts w:ascii="Arial" w:hAnsi="Arial"/>
                <w:sz w:val="24"/>
                <w:szCs w:val="24"/>
              </w:rPr>
            </w:pPr>
            <w:r w:rsidRPr="005D6BC4">
              <w:rPr>
                <w:rFonts w:ascii="Arial" w:hAnsi="Arial"/>
                <w:sz w:val="24"/>
                <w:szCs w:val="24"/>
              </w:rPr>
              <w:t xml:space="preserve">Must </w:t>
            </w:r>
            <w:r>
              <w:rPr>
                <w:rFonts w:ascii="Arial" w:hAnsi="Arial"/>
                <w:sz w:val="24"/>
                <w:szCs w:val="24"/>
              </w:rPr>
              <w:t xml:space="preserve">be able to travel across the County. </w:t>
            </w:r>
          </w:p>
          <w:p w14:paraId="673E049C" w14:textId="77777777" w:rsidR="005D6BC4" w:rsidRPr="005D6BC4" w:rsidRDefault="005D6BC4" w:rsidP="005D6BC4">
            <w:pPr>
              <w:pStyle w:val="ListParagraph"/>
              <w:jc w:val="both"/>
              <w:rPr>
                <w:rFonts w:ascii="Arial" w:hAnsi="Arial"/>
                <w:sz w:val="24"/>
                <w:szCs w:val="24"/>
              </w:rPr>
            </w:pPr>
          </w:p>
          <w:p w14:paraId="66765D05" w14:textId="6D3B9046" w:rsidR="005D6BC4" w:rsidRPr="005D6BC4" w:rsidRDefault="005D6BC4" w:rsidP="005D6BC4">
            <w:pPr>
              <w:pStyle w:val="ListParagraph"/>
              <w:numPr>
                <w:ilvl w:val="0"/>
                <w:numId w:val="23"/>
              </w:numPr>
              <w:jc w:val="both"/>
              <w:rPr>
                <w:rFonts w:ascii="Arial" w:hAnsi="Arial"/>
                <w:sz w:val="24"/>
                <w:szCs w:val="24"/>
              </w:rPr>
            </w:pPr>
            <w:r w:rsidRPr="005D6BC4">
              <w:rPr>
                <w:rFonts w:ascii="Arial" w:hAnsi="Arial"/>
                <w:sz w:val="24"/>
                <w:szCs w:val="24"/>
              </w:rPr>
              <w:t xml:space="preserve">Strong and effective communication and inter-personal skills </w:t>
            </w:r>
            <w:proofErr w:type="gramStart"/>
            <w:r w:rsidRPr="005D6BC4">
              <w:rPr>
                <w:rFonts w:ascii="Arial" w:hAnsi="Arial"/>
                <w:sz w:val="24"/>
                <w:szCs w:val="24"/>
              </w:rPr>
              <w:t>in order to</w:t>
            </w:r>
            <w:proofErr w:type="gramEnd"/>
            <w:r w:rsidRPr="005D6BC4">
              <w:rPr>
                <w:rFonts w:ascii="Arial" w:hAnsi="Arial"/>
                <w:sz w:val="24"/>
                <w:szCs w:val="24"/>
              </w:rPr>
              <w:t xml:space="preserve"> negotiate effectively and influence and effect change.</w:t>
            </w:r>
          </w:p>
          <w:p w14:paraId="211ACBFC" w14:textId="2C4906F3" w:rsidR="005D6BC4" w:rsidRPr="005D6BC4" w:rsidRDefault="005D6BC4" w:rsidP="005D6BC4">
            <w:pPr>
              <w:pStyle w:val="ListParagraph"/>
              <w:numPr>
                <w:ilvl w:val="0"/>
                <w:numId w:val="23"/>
              </w:numPr>
              <w:jc w:val="both"/>
              <w:rPr>
                <w:rFonts w:ascii="Arial" w:hAnsi="Arial"/>
                <w:sz w:val="24"/>
                <w:szCs w:val="24"/>
              </w:rPr>
            </w:pPr>
            <w:r w:rsidRPr="005D6BC4">
              <w:rPr>
                <w:rFonts w:ascii="Arial" w:hAnsi="Arial"/>
                <w:sz w:val="24"/>
                <w:szCs w:val="24"/>
              </w:rPr>
              <w:lastRenderedPageBreak/>
              <w:t xml:space="preserve">Ability to work independently, </w:t>
            </w:r>
            <w:proofErr w:type="gramStart"/>
            <w:r w:rsidRPr="005D6BC4">
              <w:rPr>
                <w:rFonts w:ascii="Arial" w:hAnsi="Arial"/>
                <w:sz w:val="24"/>
                <w:szCs w:val="24"/>
              </w:rPr>
              <w:t>systematically</w:t>
            </w:r>
            <w:proofErr w:type="gramEnd"/>
            <w:r w:rsidRPr="005D6BC4">
              <w:rPr>
                <w:rFonts w:ascii="Arial" w:hAnsi="Arial"/>
                <w:sz w:val="24"/>
                <w:szCs w:val="24"/>
              </w:rPr>
              <w:t xml:space="preserve"> and efficiently, under pressure and as part of a team. </w:t>
            </w:r>
          </w:p>
          <w:p w14:paraId="0EFD44B0" w14:textId="4D328D1F" w:rsidR="0041456C" w:rsidRPr="0041456C" w:rsidRDefault="0041456C" w:rsidP="0020240C">
            <w:pPr>
              <w:jc w:val="both"/>
              <w:rPr>
                <w:rFonts w:ascii="Arial" w:hAnsi="Arial"/>
              </w:rPr>
            </w:pPr>
            <w:r w:rsidRPr="0041456C">
              <w:rPr>
                <w:rFonts w:ascii="Arial" w:hAnsi="Arial"/>
              </w:rPr>
              <w:t xml:space="preserve">This post is designated as a casual car user </w:t>
            </w:r>
          </w:p>
        </w:tc>
        <w:tc>
          <w:tcPr>
            <w:tcW w:w="1946" w:type="dxa"/>
          </w:tcPr>
          <w:p w14:paraId="48F4025E" w14:textId="02EEA7D5" w:rsidR="0041456C" w:rsidRPr="0041456C" w:rsidRDefault="0041456C" w:rsidP="0041456C">
            <w:pPr>
              <w:rPr>
                <w:rFonts w:ascii="Gill Sans MT" w:eastAsia="Gill Sans MT" w:hAnsi="Gill Sans MT"/>
              </w:rPr>
            </w:pPr>
          </w:p>
          <w:p w14:paraId="6BACE849" w14:textId="77777777" w:rsidR="0041456C" w:rsidRDefault="0041456C" w:rsidP="0041456C">
            <w:pPr>
              <w:jc w:val="center"/>
              <w:rPr>
                <w:rFonts w:ascii="Gill Sans MT" w:eastAsia="Gill Sans MT" w:hAnsi="Gill Sans MT"/>
              </w:rPr>
            </w:pPr>
          </w:p>
          <w:p w14:paraId="0D3964EB" w14:textId="77777777" w:rsidR="005D6BC4" w:rsidRPr="005D6BC4" w:rsidRDefault="005D6BC4" w:rsidP="0041456C">
            <w:pPr>
              <w:jc w:val="center"/>
              <w:rPr>
                <w:rFonts w:ascii="Arial" w:eastAsia="Gill Sans MT" w:hAnsi="Arial" w:cs="Arial"/>
                <w:sz w:val="24"/>
                <w:szCs w:val="24"/>
              </w:rPr>
            </w:pPr>
            <w:r w:rsidRPr="005D6BC4">
              <w:rPr>
                <w:rFonts w:ascii="Arial" w:eastAsia="Gill Sans MT" w:hAnsi="Arial" w:cs="Arial"/>
                <w:sz w:val="24"/>
                <w:szCs w:val="24"/>
              </w:rPr>
              <w:t>A</w:t>
            </w:r>
          </w:p>
          <w:p w14:paraId="03524A9D" w14:textId="77777777" w:rsidR="005D6BC4" w:rsidRPr="005D6BC4" w:rsidRDefault="005D6BC4" w:rsidP="0041456C">
            <w:pPr>
              <w:jc w:val="center"/>
              <w:rPr>
                <w:rFonts w:ascii="Arial" w:eastAsia="Gill Sans MT" w:hAnsi="Arial" w:cs="Arial"/>
                <w:sz w:val="24"/>
                <w:szCs w:val="24"/>
              </w:rPr>
            </w:pPr>
            <w:r w:rsidRPr="005D6BC4">
              <w:rPr>
                <w:rFonts w:ascii="Arial" w:eastAsia="Gill Sans MT" w:hAnsi="Arial" w:cs="Arial"/>
                <w:sz w:val="24"/>
                <w:szCs w:val="24"/>
              </w:rPr>
              <w:t>A/I</w:t>
            </w:r>
          </w:p>
          <w:p w14:paraId="6C23483E" w14:textId="77777777" w:rsidR="005D6BC4" w:rsidRPr="005D6BC4" w:rsidRDefault="005D6BC4" w:rsidP="0041456C">
            <w:pPr>
              <w:jc w:val="center"/>
              <w:rPr>
                <w:rFonts w:ascii="Arial" w:eastAsia="Gill Sans MT" w:hAnsi="Arial" w:cs="Arial"/>
                <w:sz w:val="24"/>
                <w:szCs w:val="24"/>
              </w:rPr>
            </w:pPr>
          </w:p>
          <w:p w14:paraId="41C6BA5A" w14:textId="505BE551" w:rsidR="005D6BC4" w:rsidRPr="0041456C" w:rsidRDefault="005D6BC4" w:rsidP="0041456C">
            <w:pPr>
              <w:jc w:val="center"/>
              <w:rPr>
                <w:rFonts w:ascii="Gill Sans MT" w:eastAsia="Gill Sans MT" w:hAnsi="Gill Sans MT"/>
              </w:rPr>
            </w:pPr>
            <w:r w:rsidRPr="005D6BC4">
              <w:rPr>
                <w:rFonts w:ascii="Arial" w:eastAsia="Gill Sans MT" w:hAnsi="Arial" w:cs="Arial"/>
                <w:sz w:val="24"/>
                <w:szCs w:val="24"/>
              </w:rPr>
              <w:lastRenderedPageBreak/>
              <w:t>A/I</w:t>
            </w:r>
          </w:p>
        </w:tc>
      </w:tr>
    </w:tbl>
    <w:p w14:paraId="66A26FF5" w14:textId="01FD863A"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F8F7" w14:textId="77777777" w:rsidR="00170A67" w:rsidRDefault="00170A67" w:rsidP="003E7AA3">
      <w:pPr>
        <w:spacing w:after="0" w:line="240" w:lineRule="auto"/>
      </w:pPr>
      <w:r>
        <w:separator/>
      </w:r>
    </w:p>
  </w:endnote>
  <w:endnote w:type="continuationSeparator" w:id="0">
    <w:p w14:paraId="46B5E897" w14:textId="77777777" w:rsidR="00170A67" w:rsidRDefault="00170A67" w:rsidP="003E7AA3">
      <w:pPr>
        <w:spacing w:after="0" w:line="240" w:lineRule="auto"/>
      </w:pPr>
      <w:r>
        <w:continuationSeparator/>
      </w:r>
    </w:p>
  </w:endnote>
  <w:endnote w:type="continuationNotice" w:id="1">
    <w:p w14:paraId="22D208E4" w14:textId="77777777" w:rsidR="00170A67" w:rsidRDefault="00170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79E2" w14:textId="77777777" w:rsidR="00671B0C" w:rsidRDefault="00671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557F" w14:textId="77777777" w:rsidR="00671B0C" w:rsidRDefault="00671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F479" w14:textId="77777777" w:rsidR="00671B0C" w:rsidRDefault="0067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8272" w14:textId="77777777" w:rsidR="00170A67" w:rsidRDefault="00170A67" w:rsidP="003E7AA3">
      <w:pPr>
        <w:spacing w:after="0" w:line="240" w:lineRule="auto"/>
      </w:pPr>
      <w:r>
        <w:separator/>
      </w:r>
    </w:p>
  </w:footnote>
  <w:footnote w:type="continuationSeparator" w:id="0">
    <w:p w14:paraId="2D075C7E" w14:textId="77777777" w:rsidR="00170A67" w:rsidRDefault="00170A67" w:rsidP="003E7AA3">
      <w:pPr>
        <w:spacing w:after="0" w:line="240" w:lineRule="auto"/>
      </w:pPr>
      <w:r>
        <w:continuationSeparator/>
      </w:r>
    </w:p>
  </w:footnote>
  <w:footnote w:type="continuationNotice" w:id="1">
    <w:p w14:paraId="14A8772F" w14:textId="77777777" w:rsidR="00170A67" w:rsidRDefault="00170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5A21" w14:textId="77777777" w:rsidR="00671B0C" w:rsidRDefault="00671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0750DD0" w:rsidR="0041456C" w:rsidRPr="00EE50CC" w:rsidRDefault="00671B0C" w:rsidP="00816AA1">
                          <w:pPr>
                            <w:pStyle w:val="inner-page-title"/>
                            <w:rPr>
                              <w:caps/>
                            </w:rPr>
                          </w:pPr>
                          <w:r>
                            <w:t>Economy, Infrastructure and Skills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0750DD0" w:rsidR="0041456C" w:rsidRPr="00EE50CC" w:rsidRDefault="00671B0C" w:rsidP="00816AA1">
                    <w:pPr>
                      <w:pStyle w:val="inner-page-title"/>
                      <w:rPr>
                        <w:caps/>
                      </w:rPr>
                    </w:pPr>
                    <w:r>
                      <w:t>Economy, Infrastructure and Skills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865E" w14:textId="77777777" w:rsidR="00671B0C" w:rsidRDefault="0067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6F97102"/>
    <w:multiLevelType w:val="hybridMultilevel"/>
    <w:tmpl w:val="3260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417D4"/>
    <w:multiLevelType w:val="hybridMultilevel"/>
    <w:tmpl w:val="BA5279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409CC"/>
    <w:multiLevelType w:val="hybridMultilevel"/>
    <w:tmpl w:val="2E388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996554"/>
    <w:multiLevelType w:val="hybridMultilevel"/>
    <w:tmpl w:val="1538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56D1C"/>
    <w:multiLevelType w:val="hybridMultilevel"/>
    <w:tmpl w:val="14D4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8"/>
  </w:num>
  <w:num w:numId="3" w16cid:durableId="499470037">
    <w:abstractNumId w:val="7"/>
  </w:num>
  <w:num w:numId="4" w16cid:durableId="475922576">
    <w:abstractNumId w:val="20"/>
  </w:num>
  <w:num w:numId="5" w16cid:durableId="1964458954">
    <w:abstractNumId w:val="2"/>
  </w:num>
  <w:num w:numId="6" w16cid:durableId="1504541025">
    <w:abstractNumId w:val="19"/>
  </w:num>
  <w:num w:numId="7" w16cid:durableId="1903982057">
    <w:abstractNumId w:val="16"/>
  </w:num>
  <w:num w:numId="8" w16cid:durableId="280694580">
    <w:abstractNumId w:val="21"/>
  </w:num>
  <w:num w:numId="9" w16cid:durableId="1787309150">
    <w:abstractNumId w:val="10"/>
  </w:num>
  <w:num w:numId="10" w16cid:durableId="582565324">
    <w:abstractNumId w:val="0"/>
  </w:num>
  <w:num w:numId="11" w16cid:durableId="564296707">
    <w:abstractNumId w:val="6"/>
  </w:num>
  <w:num w:numId="12" w16cid:durableId="245968600">
    <w:abstractNumId w:val="17"/>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4"/>
  </w:num>
  <w:num w:numId="17" w16cid:durableId="1969120776">
    <w:abstractNumId w:val="15"/>
  </w:num>
  <w:num w:numId="18" w16cid:durableId="1409881885">
    <w:abstractNumId w:val="12"/>
  </w:num>
  <w:num w:numId="19" w16cid:durableId="1718160465">
    <w:abstractNumId w:val="11"/>
  </w:num>
  <w:num w:numId="20" w16cid:durableId="2111507531">
    <w:abstractNumId w:val="13"/>
  </w:num>
  <w:num w:numId="21" w16cid:durableId="1006516283">
    <w:abstractNumId w:val="5"/>
  </w:num>
  <w:num w:numId="22" w16cid:durableId="1835023339">
    <w:abstractNumId w:val="18"/>
  </w:num>
  <w:num w:numId="23" w16cid:durableId="1801873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03F09"/>
    <w:rsid w:val="00141D89"/>
    <w:rsid w:val="00161FE8"/>
    <w:rsid w:val="001661A9"/>
    <w:rsid w:val="001667C8"/>
    <w:rsid w:val="00170A67"/>
    <w:rsid w:val="001A15EA"/>
    <w:rsid w:val="001F3113"/>
    <w:rsid w:val="0020240C"/>
    <w:rsid w:val="00213480"/>
    <w:rsid w:val="002141BE"/>
    <w:rsid w:val="0024586E"/>
    <w:rsid w:val="00261654"/>
    <w:rsid w:val="00265281"/>
    <w:rsid w:val="002654EF"/>
    <w:rsid w:val="002B4738"/>
    <w:rsid w:val="002D237E"/>
    <w:rsid w:val="002D413B"/>
    <w:rsid w:val="002F6DE8"/>
    <w:rsid w:val="00316CA7"/>
    <w:rsid w:val="00366F6C"/>
    <w:rsid w:val="003739AB"/>
    <w:rsid w:val="003E7AA3"/>
    <w:rsid w:val="003F50AB"/>
    <w:rsid w:val="0041456C"/>
    <w:rsid w:val="00465664"/>
    <w:rsid w:val="004C58E3"/>
    <w:rsid w:val="004E2C1E"/>
    <w:rsid w:val="005230D6"/>
    <w:rsid w:val="00535B0F"/>
    <w:rsid w:val="00577B86"/>
    <w:rsid w:val="005D467F"/>
    <w:rsid w:val="005D6BC4"/>
    <w:rsid w:val="00636F40"/>
    <w:rsid w:val="00671B0C"/>
    <w:rsid w:val="00671CC9"/>
    <w:rsid w:val="006D752C"/>
    <w:rsid w:val="0070227B"/>
    <w:rsid w:val="00770B6C"/>
    <w:rsid w:val="00792EE5"/>
    <w:rsid w:val="00797BFE"/>
    <w:rsid w:val="007A6708"/>
    <w:rsid w:val="0080309F"/>
    <w:rsid w:val="00816AA1"/>
    <w:rsid w:val="00841A14"/>
    <w:rsid w:val="00872B70"/>
    <w:rsid w:val="008B4F3B"/>
    <w:rsid w:val="008E17A6"/>
    <w:rsid w:val="009202A6"/>
    <w:rsid w:val="009446C3"/>
    <w:rsid w:val="0096580A"/>
    <w:rsid w:val="0097248E"/>
    <w:rsid w:val="00977EA1"/>
    <w:rsid w:val="0098215C"/>
    <w:rsid w:val="0099470D"/>
    <w:rsid w:val="009D51A0"/>
    <w:rsid w:val="00A34FE9"/>
    <w:rsid w:val="00A645DA"/>
    <w:rsid w:val="00A761DD"/>
    <w:rsid w:val="00A82874"/>
    <w:rsid w:val="00AD6686"/>
    <w:rsid w:val="00B47AB5"/>
    <w:rsid w:val="00B9509B"/>
    <w:rsid w:val="00BB233B"/>
    <w:rsid w:val="00C003AD"/>
    <w:rsid w:val="00C055B5"/>
    <w:rsid w:val="00C20BE9"/>
    <w:rsid w:val="00C302E9"/>
    <w:rsid w:val="00C86E78"/>
    <w:rsid w:val="00CA45C1"/>
    <w:rsid w:val="00CA60A9"/>
    <w:rsid w:val="00CD038B"/>
    <w:rsid w:val="00CE77D4"/>
    <w:rsid w:val="00CF2079"/>
    <w:rsid w:val="00CF33CD"/>
    <w:rsid w:val="00D01CE1"/>
    <w:rsid w:val="00D51D8C"/>
    <w:rsid w:val="00D570E7"/>
    <w:rsid w:val="00DB70A1"/>
    <w:rsid w:val="00DE5211"/>
    <w:rsid w:val="00DF0A92"/>
    <w:rsid w:val="00EC0C4E"/>
    <w:rsid w:val="00ED655F"/>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D6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Pope, Sarah (Corporate)</cp:lastModifiedBy>
  <cp:revision>2</cp:revision>
  <dcterms:created xsi:type="dcterms:W3CDTF">2023-09-18T09:27:00Z</dcterms:created>
  <dcterms:modified xsi:type="dcterms:W3CDTF">2023-09-18T09:27:00Z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