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E87CB16"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649B320D">
            <wp:simplePos x="0" y="0"/>
            <wp:positionH relativeFrom="column">
              <wp:posOffset>-99604</wp:posOffset>
            </wp:positionH>
            <wp:positionV relativeFrom="paragraph">
              <wp:posOffset>-90351</wp:posOffset>
            </wp:positionV>
            <wp:extent cx="6116320" cy="772885"/>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5675" cy="776594"/>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74235D">
        <w:t>Market Development Officer</w:t>
      </w:r>
      <w:r>
        <w:br/>
      </w:r>
      <w:r w:rsidR="10F4C3C6">
        <w:t>Grade</w:t>
      </w:r>
      <w:r w:rsidR="60B7468B">
        <w:t xml:space="preserve">: </w:t>
      </w:r>
      <w:r w:rsidR="0074235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ambitious and sustainable county, where everyone has the opportunity to prosper, be healthy and </w:t>
      </w:r>
      <w:proofErr w:type="gramStart"/>
      <w:r>
        <w:rPr>
          <w:rFonts w:ascii="Verdana" w:hAnsi="Verdana"/>
          <w:color w:val="000000"/>
          <w:sz w:val="24"/>
          <w:szCs w:val="24"/>
          <w:lang w:eastAsia="en-GB"/>
        </w:rPr>
        <w:t>happy</w:t>
      </w:r>
      <w:proofErr w:type="gramEnd"/>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w:t>
      </w:r>
      <w:proofErr w:type="gramStart"/>
      <w:r w:rsidRPr="58E9196D">
        <w:rPr>
          <w:rFonts w:ascii="Verdana" w:eastAsia="Verdana" w:hAnsi="Verdana" w:cs="Verdana"/>
          <w:lang w:val="en-GB"/>
        </w:rPr>
        <w:t>growth</w:t>
      </w:r>
      <w:proofErr w:type="gramEnd"/>
      <w:r w:rsidRPr="58E9196D">
        <w:rPr>
          <w:rFonts w:ascii="Verdana" w:eastAsia="Verdana" w:hAnsi="Verdana" w:cs="Verdana"/>
          <w:lang w:val="en-GB"/>
        </w:rPr>
        <w:t xml:space="preserve">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w:t>
      </w:r>
      <w:proofErr w:type="gramStart"/>
      <w:r w:rsidRPr="58E9196D">
        <w:rPr>
          <w:rFonts w:ascii="Verdana" w:eastAsia="Verdana" w:hAnsi="Verdana" w:cs="Verdana"/>
          <w:lang w:val="en-GB"/>
        </w:rPr>
        <w:t>longer</w:t>
      </w:r>
      <w:proofErr w:type="gramEnd"/>
      <w:r w:rsidRPr="58E9196D">
        <w:rPr>
          <w:rFonts w:ascii="Verdana" w:eastAsia="Verdana" w:hAnsi="Verdana" w:cs="Verdana"/>
          <w:lang w:val="en-GB"/>
        </w:rPr>
        <w:t xml:space="preserve">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 xml:space="preserve">Ambitious – We are ambitious for our communities and </w:t>
      </w:r>
      <w:proofErr w:type="gramStart"/>
      <w:r>
        <w:t>citizens</w:t>
      </w:r>
      <w:proofErr w:type="gramEnd"/>
    </w:p>
    <w:p w14:paraId="7FAB97AC" w14:textId="58EF0E79" w:rsidR="00816AA1" w:rsidRPr="001F3113" w:rsidRDefault="00816AA1" w:rsidP="008B4F3B">
      <w:pPr>
        <w:pStyle w:val="Bullets"/>
        <w:jc w:val="both"/>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52BD0715" w14:textId="5716D9B7" w:rsidR="00816AA1" w:rsidRPr="001F3113" w:rsidRDefault="00816AA1" w:rsidP="001F3113">
      <w:pPr>
        <w:pStyle w:val="Body-Bold"/>
      </w:pPr>
      <w:r>
        <w:t>About the Service</w:t>
      </w:r>
    </w:p>
    <w:p w14:paraId="3B9794D6" w14:textId="6D1DE7B7" w:rsidR="007813E7" w:rsidRPr="00614EF7" w:rsidRDefault="007813E7" w:rsidP="007813E7">
      <w:pPr>
        <w:jc w:val="both"/>
        <w:rPr>
          <w:rFonts w:ascii="Verdana" w:hAnsi="Verdana" w:cs="Arial"/>
          <w:sz w:val="24"/>
          <w:szCs w:val="24"/>
        </w:rPr>
      </w:pPr>
      <w:r w:rsidRPr="00614EF7">
        <w:rPr>
          <w:rFonts w:ascii="Verdana" w:hAnsi="Verdana" w:cs="Arial"/>
          <w:sz w:val="24"/>
          <w:szCs w:val="24"/>
        </w:rPr>
        <w:t>The overall purpose of the service is to improve the quality and sustainability of the care market in Staffordshire.</w:t>
      </w:r>
      <w:r w:rsidR="00614EF7">
        <w:rPr>
          <w:rFonts w:ascii="Verdana" w:hAnsi="Verdana" w:cs="Arial"/>
          <w:sz w:val="24"/>
          <w:szCs w:val="24"/>
        </w:rPr>
        <w:t xml:space="preserve"> E</w:t>
      </w:r>
      <w:r w:rsidRPr="00614EF7">
        <w:rPr>
          <w:rFonts w:ascii="Verdana" w:hAnsi="Verdana" w:cs="Arial"/>
          <w:sz w:val="24"/>
          <w:szCs w:val="24"/>
        </w:rPr>
        <w:t>ffective engage</w:t>
      </w:r>
      <w:r w:rsidR="00614EF7">
        <w:rPr>
          <w:rFonts w:ascii="Verdana" w:hAnsi="Verdana" w:cs="Arial"/>
          <w:sz w:val="24"/>
          <w:szCs w:val="24"/>
        </w:rPr>
        <w:t>ment</w:t>
      </w:r>
      <w:r w:rsidRPr="00614EF7">
        <w:rPr>
          <w:rFonts w:ascii="Verdana" w:hAnsi="Verdana" w:cs="Arial"/>
          <w:sz w:val="24"/>
          <w:szCs w:val="24"/>
        </w:rPr>
        <w:t xml:space="preserve"> </w:t>
      </w:r>
      <w:r w:rsidR="00614EF7">
        <w:rPr>
          <w:rFonts w:ascii="Verdana" w:hAnsi="Verdana" w:cs="Arial"/>
          <w:sz w:val="24"/>
          <w:szCs w:val="24"/>
        </w:rPr>
        <w:t xml:space="preserve">is essential to </w:t>
      </w:r>
      <w:r w:rsidRPr="00614EF7">
        <w:rPr>
          <w:rFonts w:ascii="Verdana" w:hAnsi="Verdana" w:cs="Arial"/>
          <w:sz w:val="24"/>
          <w:szCs w:val="24"/>
        </w:rPr>
        <w:t xml:space="preserve">everything that we do. Improvements in </w:t>
      </w:r>
      <w:r w:rsidR="00940E61">
        <w:rPr>
          <w:rFonts w:ascii="Verdana" w:hAnsi="Verdana" w:cs="Arial"/>
          <w:sz w:val="24"/>
          <w:szCs w:val="24"/>
        </w:rPr>
        <w:t xml:space="preserve">the </w:t>
      </w:r>
      <w:r w:rsidRPr="00614EF7">
        <w:rPr>
          <w:rFonts w:ascii="Verdana" w:hAnsi="Verdana" w:cs="Arial"/>
          <w:sz w:val="24"/>
          <w:szCs w:val="24"/>
        </w:rPr>
        <w:t xml:space="preserve">quality of </w:t>
      </w:r>
      <w:r w:rsidR="00614EF7">
        <w:rPr>
          <w:rFonts w:ascii="Verdana" w:hAnsi="Verdana" w:cs="Arial"/>
          <w:sz w:val="24"/>
          <w:szCs w:val="24"/>
        </w:rPr>
        <w:t>the market</w:t>
      </w:r>
      <w:r w:rsidRPr="00614EF7">
        <w:rPr>
          <w:rFonts w:ascii="Verdana" w:hAnsi="Verdana" w:cs="Arial"/>
          <w:sz w:val="24"/>
          <w:szCs w:val="24"/>
        </w:rPr>
        <w:t xml:space="preserve"> must be long-term and sustainable.  Our purpose is to anticipate future needs and expectations and to engage all parties in long-term planning to meet these. Where people need care and support to achieve a better quality of life our purpose is to ensure that </w:t>
      </w:r>
      <w:r w:rsidRPr="00614EF7">
        <w:rPr>
          <w:rFonts w:ascii="Verdana" w:hAnsi="Verdana" w:cs="Arial"/>
          <w:sz w:val="24"/>
          <w:szCs w:val="24"/>
        </w:rPr>
        <w:lastRenderedPageBreak/>
        <w:t xml:space="preserve">support can be provided from a range of quality-assured service providers </w:t>
      </w:r>
      <w:r w:rsidR="00614EF7">
        <w:rPr>
          <w:rFonts w:ascii="Verdana" w:hAnsi="Verdana" w:cs="Arial"/>
          <w:sz w:val="24"/>
          <w:szCs w:val="24"/>
        </w:rPr>
        <w:t xml:space="preserve">with the right skills and knowledge to support them. </w:t>
      </w:r>
    </w:p>
    <w:p w14:paraId="4135BA12" w14:textId="77777777" w:rsidR="007813E7" w:rsidRPr="00614EF7" w:rsidRDefault="007813E7" w:rsidP="007813E7">
      <w:pPr>
        <w:jc w:val="both"/>
        <w:rPr>
          <w:rFonts w:ascii="Verdana" w:eastAsia="Gill Sans MT" w:hAnsi="Verdana" w:cs="Arial"/>
          <w:i/>
          <w:sz w:val="24"/>
          <w:szCs w:val="24"/>
        </w:rPr>
      </w:pPr>
      <w:r w:rsidRPr="00614EF7">
        <w:rPr>
          <w:rFonts w:ascii="Verdana" w:eastAsia="Gill Sans MT" w:hAnsi="Verdana"/>
          <w:b/>
          <w:sz w:val="24"/>
          <w:szCs w:val="24"/>
        </w:rPr>
        <w:t xml:space="preserve"> </w:t>
      </w:r>
    </w:p>
    <w:p w14:paraId="453026B2" w14:textId="48E7BD07" w:rsidR="007813E7" w:rsidRPr="00614EF7" w:rsidRDefault="007813E7" w:rsidP="007813E7">
      <w:pPr>
        <w:jc w:val="both"/>
        <w:rPr>
          <w:rFonts w:ascii="Verdana" w:hAnsi="Verdana" w:cs="Arial"/>
          <w:sz w:val="24"/>
          <w:szCs w:val="24"/>
        </w:rPr>
      </w:pPr>
      <w:r w:rsidRPr="00614EF7">
        <w:rPr>
          <w:rFonts w:ascii="Verdana" w:hAnsi="Verdana" w:cs="Arial"/>
          <w:sz w:val="24"/>
          <w:szCs w:val="24"/>
        </w:rPr>
        <w:t xml:space="preserve">The </w:t>
      </w:r>
      <w:r w:rsidR="00614EF7">
        <w:rPr>
          <w:rFonts w:ascii="Verdana" w:hAnsi="Verdana" w:cs="Arial"/>
          <w:sz w:val="24"/>
          <w:szCs w:val="24"/>
        </w:rPr>
        <w:t xml:space="preserve">Care </w:t>
      </w:r>
      <w:r w:rsidRPr="00614EF7">
        <w:rPr>
          <w:rFonts w:ascii="Verdana" w:hAnsi="Verdana" w:cs="Arial"/>
          <w:sz w:val="24"/>
          <w:szCs w:val="24"/>
        </w:rPr>
        <w:t xml:space="preserve">Market Development Team’s role lies in working with others to enable an adaptive and resilient care market to deliver quality support to the people of Staffordshire.  The team aims to support </w:t>
      </w:r>
      <w:r w:rsidR="00614EF7">
        <w:rPr>
          <w:rFonts w:ascii="Verdana" w:hAnsi="Verdana" w:cs="Arial"/>
          <w:sz w:val="24"/>
          <w:szCs w:val="24"/>
        </w:rPr>
        <w:t>improved recruitment and retention</w:t>
      </w:r>
      <w:r w:rsidR="00940E61">
        <w:rPr>
          <w:rFonts w:ascii="Verdana" w:hAnsi="Verdana" w:cs="Arial"/>
          <w:sz w:val="24"/>
          <w:szCs w:val="24"/>
        </w:rPr>
        <w:t xml:space="preserve">, as well as working with partners </w:t>
      </w:r>
      <w:r w:rsidR="00940E61" w:rsidRPr="00614EF7">
        <w:rPr>
          <w:rFonts w:ascii="Verdana" w:hAnsi="Verdana" w:cs="Arial"/>
          <w:sz w:val="24"/>
          <w:szCs w:val="24"/>
        </w:rPr>
        <w:t xml:space="preserve">to develop an appropriately skilled and trained </w:t>
      </w:r>
      <w:r w:rsidR="00940E61">
        <w:rPr>
          <w:rFonts w:ascii="Verdana" w:hAnsi="Verdana" w:cs="Arial"/>
          <w:sz w:val="24"/>
          <w:szCs w:val="24"/>
        </w:rPr>
        <w:t>workforce within the adult social care market</w:t>
      </w:r>
      <w:r w:rsidR="00614EF7">
        <w:rPr>
          <w:rFonts w:ascii="Verdana" w:hAnsi="Verdana" w:cs="Arial"/>
          <w:sz w:val="24"/>
          <w:szCs w:val="24"/>
        </w:rPr>
        <w:t xml:space="preserve">. </w:t>
      </w:r>
      <w:r w:rsidRPr="00614EF7">
        <w:rPr>
          <w:rFonts w:ascii="Verdana" w:hAnsi="Verdana" w:cs="Arial"/>
          <w:sz w:val="24"/>
          <w:szCs w:val="24"/>
        </w:rPr>
        <w:t xml:space="preserve">The support it provides </w:t>
      </w:r>
      <w:r w:rsidR="00940E61">
        <w:rPr>
          <w:rFonts w:ascii="Verdana" w:hAnsi="Verdana" w:cs="Arial"/>
          <w:sz w:val="24"/>
          <w:szCs w:val="24"/>
        </w:rPr>
        <w:t xml:space="preserve">is in line </w:t>
      </w:r>
      <w:r w:rsidRPr="00614EF7">
        <w:rPr>
          <w:rFonts w:ascii="Verdana" w:hAnsi="Verdana" w:cs="Arial"/>
          <w:sz w:val="24"/>
          <w:szCs w:val="24"/>
        </w:rPr>
        <w:t xml:space="preserve">with the Council’s commissioning intentions and quality assurance processes. </w:t>
      </w:r>
    </w:p>
    <w:p w14:paraId="51A0BD72" w14:textId="77777777" w:rsidR="0020240C" w:rsidRDefault="0020240C" w:rsidP="001F3113">
      <w:pPr>
        <w:pStyle w:val="Body-Bold"/>
      </w:pPr>
    </w:p>
    <w:p w14:paraId="1FC3286B" w14:textId="19C264C6" w:rsidR="00816AA1" w:rsidRPr="00816AA1" w:rsidRDefault="00816AA1" w:rsidP="001F3113">
      <w:pPr>
        <w:pStyle w:val="Body-Bold"/>
      </w:pPr>
      <w:r w:rsidRPr="00816AA1">
        <w:t>Reporting Relationships</w:t>
      </w:r>
    </w:p>
    <w:p w14:paraId="1CF2634B" w14:textId="6A14185D" w:rsidR="00816AA1" w:rsidRDefault="00816AA1" w:rsidP="001F3113">
      <w:pPr>
        <w:pStyle w:val="Body-Bold"/>
      </w:pPr>
      <w:r>
        <w:t xml:space="preserve">Responsible to: </w:t>
      </w:r>
      <w:r w:rsidR="4AC544A3">
        <w:t xml:space="preserve"> </w:t>
      </w:r>
      <w:r w:rsidR="002843D0" w:rsidRPr="002843D0">
        <w:rPr>
          <w:rFonts w:ascii="Gill Sans MT" w:eastAsia="Gill Sans MT" w:hAnsi="Gill Sans MT"/>
          <w:szCs w:val="22"/>
        </w:rPr>
        <w:t>Care Market Assurance and Improvement Service Manager</w:t>
      </w:r>
    </w:p>
    <w:p w14:paraId="65B575FA" w14:textId="368F7339" w:rsidR="0041456C" w:rsidRDefault="0041456C" w:rsidP="11053D4C">
      <w:pPr>
        <w:pStyle w:val="Body-Bold"/>
        <w:spacing w:line="240" w:lineRule="auto"/>
      </w:pPr>
      <w:r>
        <w:t xml:space="preserve">Key Accountabilities: </w:t>
      </w:r>
    </w:p>
    <w:p w14:paraId="3A7DBE62" w14:textId="77777777" w:rsidR="00A814AF" w:rsidRPr="00940E61" w:rsidRDefault="00A814AF" w:rsidP="00940E61">
      <w:pPr>
        <w:rPr>
          <w:rFonts w:ascii="Verdana" w:hAnsi="Verdana" w:cs="Arial"/>
          <w:sz w:val="24"/>
          <w:szCs w:val="24"/>
        </w:rPr>
      </w:pPr>
      <w:r w:rsidRPr="00940E61">
        <w:rPr>
          <w:rFonts w:ascii="Verdana" w:hAnsi="Verdana" w:cs="Arial"/>
          <w:sz w:val="24"/>
          <w:szCs w:val="24"/>
        </w:rPr>
        <w:t>To support the adult social care sector by:</w:t>
      </w:r>
      <w:r w:rsidRPr="00940E61">
        <w:rPr>
          <w:rFonts w:ascii="Verdana" w:hAnsi="Verdana" w:cs="Arial"/>
          <w:sz w:val="24"/>
          <w:szCs w:val="24"/>
        </w:rPr>
        <w:br/>
      </w:r>
    </w:p>
    <w:p w14:paraId="04FD864E"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Gathering, </w:t>
      </w:r>
      <w:proofErr w:type="spellStart"/>
      <w:r w:rsidRPr="00940E61">
        <w:rPr>
          <w:rFonts w:ascii="Verdana" w:hAnsi="Verdana" w:cs="Arial"/>
          <w:sz w:val="24"/>
          <w:szCs w:val="24"/>
        </w:rPr>
        <w:t>analysing</w:t>
      </w:r>
      <w:proofErr w:type="spellEnd"/>
      <w:r w:rsidRPr="00940E61">
        <w:rPr>
          <w:rFonts w:ascii="Verdana" w:hAnsi="Verdana" w:cs="Arial"/>
          <w:sz w:val="24"/>
          <w:szCs w:val="24"/>
        </w:rPr>
        <w:t xml:space="preserve">, </w:t>
      </w:r>
      <w:proofErr w:type="spellStart"/>
      <w:r w:rsidRPr="00940E61">
        <w:rPr>
          <w:rFonts w:ascii="Verdana" w:hAnsi="Verdana" w:cs="Arial"/>
          <w:sz w:val="24"/>
          <w:szCs w:val="24"/>
        </w:rPr>
        <w:t>summarising</w:t>
      </w:r>
      <w:proofErr w:type="spellEnd"/>
      <w:r w:rsidRPr="00940E61">
        <w:rPr>
          <w:rFonts w:ascii="Verdana" w:hAnsi="Verdana" w:cs="Arial"/>
          <w:sz w:val="24"/>
          <w:szCs w:val="24"/>
        </w:rPr>
        <w:t xml:space="preserve"> and </w:t>
      </w:r>
      <w:proofErr w:type="spellStart"/>
      <w:r w:rsidRPr="00940E61">
        <w:rPr>
          <w:rFonts w:ascii="Verdana" w:hAnsi="Verdana" w:cs="Arial"/>
          <w:sz w:val="24"/>
          <w:szCs w:val="24"/>
        </w:rPr>
        <w:t>utilising</w:t>
      </w:r>
      <w:proofErr w:type="spellEnd"/>
      <w:r w:rsidRPr="00940E61">
        <w:rPr>
          <w:rFonts w:ascii="Verdana" w:hAnsi="Verdana" w:cs="Arial"/>
          <w:sz w:val="24"/>
          <w:szCs w:val="24"/>
        </w:rPr>
        <w:t xml:space="preserve"> intelligence including the following to inform and </w:t>
      </w:r>
      <w:proofErr w:type="spellStart"/>
      <w:r w:rsidRPr="00940E61">
        <w:rPr>
          <w:rFonts w:ascii="Verdana" w:hAnsi="Verdana" w:cs="Arial"/>
          <w:sz w:val="24"/>
          <w:szCs w:val="24"/>
        </w:rPr>
        <w:t>prioritise</w:t>
      </w:r>
      <w:proofErr w:type="spellEnd"/>
      <w:r w:rsidRPr="00940E61">
        <w:rPr>
          <w:rFonts w:ascii="Verdana" w:hAnsi="Verdana" w:cs="Arial"/>
          <w:sz w:val="24"/>
          <w:szCs w:val="24"/>
        </w:rPr>
        <w:t xml:space="preserve"> Care Market Development activity: </w:t>
      </w:r>
    </w:p>
    <w:p w14:paraId="209122F0" w14:textId="153D2C5A" w:rsidR="00A814AF" w:rsidRPr="00940E61" w:rsidRDefault="00A814AF" w:rsidP="00940E61">
      <w:pPr>
        <w:numPr>
          <w:ilvl w:val="1"/>
          <w:numId w:val="11"/>
        </w:numPr>
        <w:spacing w:after="0" w:line="240" w:lineRule="auto"/>
        <w:rPr>
          <w:rFonts w:ascii="Verdana" w:hAnsi="Verdana" w:cs="Arial"/>
          <w:sz w:val="24"/>
          <w:szCs w:val="24"/>
        </w:rPr>
      </w:pPr>
      <w:r w:rsidRPr="00940E61">
        <w:rPr>
          <w:rFonts w:ascii="Verdana" w:hAnsi="Verdana" w:cs="Arial"/>
          <w:sz w:val="24"/>
          <w:szCs w:val="24"/>
        </w:rPr>
        <w:t xml:space="preserve">The National Minimum Dataset concerning the social care workforce in Staffordshire to provide accurate and timely information about skills, recruitment. and retention  </w:t>
      </w:r>
    </w:p>
    <w:p w14:paraId="7AF61811" w14:textId="77777777" w:rsidR="00A814AF" w:rsidRPr="00940E61" w:rsidRDefault="00A814AF" w:rsidP="00940E61">
      <w:pPr>
        <w:numPr>
          <w:ilvl w:val="1"/>
          <w:numId w:val="11"/>
        </w:numPr>
        <w:spacing w:after="0" w:line="240" w:lineRule="auto"/>
        <w:rPr>
          <w:rFonts w:ascii="Verdana" w:hAnsi="Verdana" w:cs="Arial"/>
          <w:sz w:val="24"/>
          <w:szCs w:val="24"/>
        </w:rPr>
      </w:pPr>
      <w:r w:rsidRPr="00940E61">
        <w:rPr>
          <w:rFonts w:ascii="Verdana" w:hAnsi="Verdana" w:cs="Arial"/>
          <w:sz w:val="24"/>
          <w:szCs w:val="24"/>
        </w:rPr>
        <w:t>The Council’s commissioning intentions, quality assurance and CQC findings to identify and respond to emerging marketplace challenges in a timely and appropriate manner.</w:t>
      </w:r>
    </w:p>
    <w:p w14:paraId="4E063DEF" w14:textId="77777777" w:rsidR="00A814AF" w:rsidRPr="00940E61" w:rsidRDefault="00A814AF" w:rsidP="00940E61">
      <w:pPr>
        <w:ind w:left="1440"/>
        <w:rPr>
          <w:rFonts w:ascii="Verdana" w:hAnsi="Verdana" w:cs="Arial"/>
          <w:sz w:val="24"/>
          <w:szCs w:val="24"/>
        </w:rPr>
      </w:pPr>
    </w:p>
    <w:p w14:paraId="6082DA1B"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Mentoring / coaching and supporting care providers to improve the quality of care provided to a range of adult social care service users through staff training and development </w:t>
      </w:r>
      <w:proofErr w:type="gramStart"/>
      <w:r w:rsidRPr="00940E61">
        <w:rPr>
          <w:rFonts w:ascii="Verdana" w:hAnsi="Verdana" w:cs="Arial"/>
          <w:sz w:val="24"/>
          <w:szCs w:val="24"/>
        </w:rPr>
        <w:t>initiatives</w:t>
      </w:r>
      <w:proofErr w:type="gramEnd"/>
    </w:p>
    <w:p w14:paraId="16F6274F" w14:textId="77777777" w:rsidR="00A814AF" w:rsidRPr="00940E61" w:rsidRDefault="00A814AF" w:rsidP="00940E61">
      <w:pPr>
        <w:ind w:left="720"/>
        <w:rPr>
          <w:rFonts w:ascii="Verdana" w:hAnsi="Verdana" w:cs="Arial"/>
          <w:sz w:val="24"/>
          <w:szCs w:val="24"/>
        </w:rPr>
      </w:pPr>
    </w:p>
    <w:p w14:paraId="7C4ED1F2"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Carry out Training Needs Analysis (TNA) of the Staffordshire care market, identifying skills gaps, learning needs and workforce development opportunities to better support the development and implementation of learning and development </w:t>
      </w:r>
      <w:proofErr w:type="spellStart"/>
      <w:r w:rsidRPr="00940E61">
        <w:rPr>
          <w:rFonts w:ascii="Verdana" w:hAnsi="Verdana" w:cs="Arial"/>
          <w:sz w:val="24"/>
          <w:szCs w:val="24"/>
        </w:rPr>
        <w:t>programmes</w:t>
      </w:r>
      <w:proofErr w:type="spellEnd"/>
      <w:r w:rsidRPr="00940E61">
        <w:rPr>
          <w:rFonts w:ascii="Verdana" w:hAnsi="Verdana" w:cs="Arial"/>
          <w:sz w:val="24"/>
          <w:szCs w:val="24"/>
        </w:rPr>
        <w:t xml:space="preserve"> for adult social care providers in Staffordshire.</w:t>
      </w:r>
    </w:p>
    <w:p w14:paraId="76D91F5B" w14:textId="77777777" w:rsidR="00A814AF" w:rsidRPr="00940E61" w:rsidRDefault="00A814AF" w:rsidP="00940E61">
      <w:pPr>
        <w:ind w:left="720"/>
        <w:rPr>
          <w:rFonts w:ascii="Verdana" w:hAnsi="Verdana" w:cs="Arial"/>
          <w:sz w:val="24"/>
          <w:szCs w:val="24"/>
        </w:rPr>
      </w:pPr>
    </w:p>
    <w:p w14:paraId="0294DC6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lastRenderedPageBreak/>
        <w:t xml:space="preserve">Liaising directly with relevant qualification bodies, CQC and Skills for Care to contribute to the development of new standards and regulations to ensure quality compliance and improved learning and development </w:t>
      </w:r>
      <w:proofErr w:type="spellStart"/>
      <w:r w:rsidRPr="00940E61">
        <w:rPr>
          <w:rFonts w:ascii="Verdana" w:hAnsi="Verdana" w:cs="Arial"/>
          <w:sz w:val="24"/>
          <w:szCs w:val="24"/>
        </w:rPr>
        <w:t>programmes</w:t>
      </w:r>
      <w:proofErr w:type="spellEnd"/>
      <w:r w:rsidRPr="00940E61">
        <w:rPr>
          <w:rFonts w:ascii="Verdana" w:hAnsi="Verdana" w:cs="Arial"/>
          <w:sz w:val="24"/>
          <w:szCs w:val="24"/>
        </w:rPr>
        <w:t xml:space="preserve"> for the sector. </w:t>
      </w:r>
    </w:p>
    <w:p w14:paraId="23D6FB29" w14:textId="77777777" w:rsidR="00A814AF" w:rsidRPr="00940E61" w:rsidRDefault="00A814AF" w:rsidP="00940E61">
      <w:pPr>
        <w:ind w:left="720"/>
        <w:rPr>
          <w:rFonts w:ascii="Verdana" w:hAnsi="Verdana" w:cs="Arial"/>
          <w:sz w:val="24"/>
          <w:szCs w:val="24"/>
        </w:rPr>
      </w:pPr>
    </w:p>
    <w:p w14:paraId="096E14CA"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Promoting and supporting the streamlining of workplace systems in order that care providers meet their obligations within legislation, </w:t>
      </w:r>
      <w:proofErr w:type="gramStart"/>
      <w:r w:rsidRPr="00940E61">
        <w:rPr>
          <w:rFonts w:ascii="Verdana" w:hAnsi="Verdana" w:cs="Arial"/>
          <w:sz w:val="24"/>
          <w:szCs w:val="24"/>
        </w:rPr>
        <w:t>regulation</w:t>
      </w:r>
      <w:proofErr w:type="gramEnd"/>
      <w:r w:rsidRPr="00940E61">
        <w:rPr>
          <w:rFonts w:ascii="Verdana" w:hAnsi="Verdana" w:cs="Arial"/>
          <w:sz w:val="24"/>
          <w:szCs w:val="24"/>
        </w:rPr>
        <w:t xml:space="preserve"> and standards. </w:t>
      </w:r>
    </w:p>
    <w:p w14:paraId="5F203909" w14:textId="77777777" w:rsidR="00A814AF" w:rsidRPr="00940E61" w:rsidRDefault="00A814AF" w:rsidP="00940E61">
      <w:pPr>
        <w:ind w:left="720"/>
        <w:rPr>
          <w:rFonts w:ascii="Verdana" w:hAnsi="Verdana" w:cs="Arial"/>
          <w:sz w:val="24"/>
          <w:szCs w:val="24"/>
        </w:rPr>
      </w:pPr>
    </w:p>
    <w:p w14:paraId="7238FC3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Promotion of the completion of the Adult Social Care Workforce Dataset and sign up to Skills for Care Workforce Development Fund to access funding support for workforce development activities and promote awareness of Dignity Champions, Dementia Friends etc.  </w:t>
      </w:r>
      <w:r w:rsidRPr="00940E61">
        <w:rPr>
          <w:rFonts w:ascii="Verdana" w:hAnsi="Verdana" w:cs="Arial"/>
          <w:sz w:val="24"/>
          <w:szCs w:val="24"/>
        </w:rPr>
        <w:br/>
      </w:r>
    </w:p>
    <w:p w14:paraId="0F2FA930" w14:textId="77777777" w:rsidR="00A814AF" w:rsidRPr="00940E61" w:rsidRDefault="00A814AF" w:rsidP="00940E61">
      <w:pPr>
        <w:numPr>
          <w:ilvl w:val="0"/>
          <w:numId w:val="11"/>
        </w:numPr>
        <w:spacing w:after="0" w:line="240" w:lineRule="auto"/>
        <w:rPr>
          <w:rFonts w:ascii="Verdana" w:hAnsi="Verdana" w:cs="Arial"/>
          <w:sz w:val="24"/>
          <w:szCs w:val="24"/>
        </w:rPr>
      </w:pPr>
      <w:r w:rsidRPr="00940E61">
        <w:rPr>
          <w:rFonts w:ascii="Verdana" w:hAnsi="Verdana" w:cs="Arial"/>
          <w:sz w:val="24"/>
          <w:szCs w:val="24"/>
        </w:rPr>
        <w:t xml:space="preserve">Liaising with commissioners, quality assurance and others to provide information, </w:t>
      </w:r>
      <w:proofErr w:type="gramStart"/>
      <w:r w:rsidRPr="00940E61">
        <w:rPr>
          <w:rFonts w:ascii="Verdana" w:hAnsi="Verdana" w:cs="Arial"/>
          <w:sz w:val="24"/>
          <w:szCs w:val="24"/>
        </w:rPr>
        <w:t>advice</w:t>
      </w:r>
      <w:proofErr w:type="gramEnd"/>
      <w:r w:rsidRPr="00940E61">
        <w:rPr>
          <w:rFonts w:ascii="Verdana" w:hAnsi="Verdana" w:cs="Arial"/>
          <w:sz w:val="24"/>
          <w:szCs w:val="24"/>
        </w:rPr>
        <w:t xml:space="preserve"> and guidance to the marketplace on commissioning intentions, care legislation/standards and regional funding and training opportunities.</w:t>
      </w:r>
      <w:r w:rsidRPr="00940E61">
        <w:rPr>
          <w:rFonts w:ascii="Verdana" w:hAnsi="Verdana" w:cs="Arial"/>
          <w:sz w:val="24"/>
          <w:szCs w:val="24"/>
        </w:rPr>
        <w:br/>
      </w:r>
    </w:p>
    <w:p w14:paraId="327A51B5"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Supporting Direct Payment Employers’ access to workforce development opportunities and developing information, advice and guidance on recruitment, </w:t>
      </w:r>
      <w:proofErr w:type="gramStart"/>
      <w:r w:rsidRPr="00940E61">
        <w:rPr>
          <w:rFonts w:ascii="Verdana" w:hAnsi="Verdana" w:cs="Arial"/>
          <w:sz w:val="24"/>
          <w:szCs w:val="24"/>
        </w:rPr>
        <w:t>training</w:t>
      </w:r>
      <w:proofErr w:type="gramEnd"/>
      <w:r w:rsidRPr="00940E61">
        <w:rPr>
          <w:rFonts w:ascii="Verdana" w:hAnsi="Verdana" w:cs="Arial"/>
          <w:sz w:val="24"/>
          <w:szCs w:val="24"/>
        </w:rPr>
        <w:t xml:space="preserve"> and retention of Personal Assistants.</w:t>
      </w:r>
    </w:p>
    <w:p w14:paraId="199D5A3C" w14:textId="77777777" w:rsidR="00A814AF" w:rsidRPr="00940E61" w:rsidRDefault="00A814AF" w:rsidP="00940E61">
      <w:pPr>
        <w:ind w:left="720"/>
        <w:contextualSpacing/>
        <w:rPr>
          <w:rFonts w:ascii="Verdana" w:hAnsi="Verdana" w:cs="Arial"/>
          <w:sz w:val="24"/>
          <w:szCs w:val="24"/>
        </w:rPr>
      </w:pPr>
    </w:p>
    <w:p w14:paraId="449B5C3B"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Managing and developing the Care Ambassador </w:t>
      </w:r>
      <w:proofErr w:type="spellStart"/>
      <w:r w:rsidRPr="00940E61">
        <w:rPr>
          <w:rFonts w:ascii="Verdana" w:hAnsi="Verdana" w:cs="Arial"/>
          <w:sz w:val="24"/>
          <w:szCs w:val="24"/>
        </w:rPr>
        <w:t>programme</w:t>
      </w:r>
      <w:proofErr w:type="spellEnd"/>
      <w:r w:rsidRPr="00940E61">
        <w:rPr>
          <w:rFonts w:ascii="Verdana" w:hAnsi="Verdana" w:cs="Arial"/>
          <w:sz w:val="24"/>
          <w:szCs w:val="24"/>
        </w:rPr>
        <w:t xml:space="preserve"> in line with Skills for Care guidelines </w:t>
      </w:r>
    </w:p>
    <w:p w14:paraId="172E1243" w14:textId="77777777" w:rsidR="00A814AF" w:rsidRPr="00940E61" w:rsidRDefault="00A814AF" w:rsidP="00940E61">
      <w:pPr>
        <w:pStyle w:val="ListParagraph"/>
        <w:spacing w:after="0"/>
        <w:rPr>
          <w:rFonts w:ascii="Verdana" w:eastAsia="Times New Roman" w:hAnsi="Verdana"/>
          <w:sz w:val="24"/>
          <w:szCs w:val="24"/>
        </w:rPr>
      </w:pPr>
    </w:p>
    <w:p w14:paraId="5D7F4B1C"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Raising care providers’ awareness of changes in Health and the impact this is having on the Adult Social Care Market.</w:t>
      </w:r>
    </w:p>
    <w:p w14:paraId="777168E7" w14:textId="77777777" w:rsidR="00A814AF" w:rsidRPr="00940E61" w:rsidRDefault="00A814AF" w:rsidP="00940E61">
      <w:pPr>
        <w:ind w:left="720"/>
        <w:contextualSpacing/>
        <w:rPr>
          <w:rFonts w:ascii="Verdana" w:hAnsi="Verdana" w:cs="Arial"/>
          <w:sz w:val="24"/>
          <w:szCs w:val="24"/>
        </w:rPr>
      </w:pPr>
    </w:p>
    <w:p w14:paraId="54D27029" w14:textId="77777777" w:rsidR="00A814AF" w:rsidRPr="00940E61" w:rsidRDefault="00A814AF" w:rsidP="00940E61">
      <w:pPr>
        <w:numPr>
          <w:ilvl w:val="0"/>
          <w:numId w:val="11"/>
        </w:numPr>
        <w:spacing w:after="0" w:line="240" w:lineRule="auto"/>
        <w:contextualSpacing/>
        <w:rPr>
          <w:rFonts w:ascii="Verdana" w:hAnsi="Verdana" w:cs="Arial"/>
          <w:sz w:val="24"/>
          <w:szCs w:val="24"/>
        </w:rPr>
      </w:pPr>
      <w:r w:rsidRPr="00940E61">
        <w:rPr>
          <w:rFonts w:ascii="Verdana" w:hAnsi="Verdana" w:cs="Arial"/>
          <w:sz w:val="24"/>
          <w:szCs w:val="24"/>
        </w:rPr>
        <w:t xml:space="preserve">Ensuring the Care Market Development website and related processes are current and </w:t>
      </w:r>
      <w:proofErr w:type="gramStart"/>
      <w:r w:rsidRPr="00940E61">
        <w:rPr>
          <w:rFonts w:ascii="Verdana" w:hAnsi="Verdana" w:cs="Arial"/>
          <w:sz w:val="24"/>
          <w:szCs w:val="24"/>
        </w:rPr>
        <w:t>relevant</w:t>
      </w:r>
      <w:proofErr w:type="gramEnd"/>
      <w:r w:rsidRPr="00940E61">
        <w:rPr>
          <w:rFonts w:ascii="Verdana" w:hAnsi="Verdana" w:cs="Arial"/>
          <w:sz w:val="24"/>
          <w:szCs w:val="24"/>
        </w:rPr>
        <w:t xml:space="preserve"> </w:t>
      </w:r>
    </w:p>
    <w:p w14:paraId="2825B3AE" w14:textId="77777777" w:rsidR="00A814AF" w:rsidRPr="00940E61" w:rsidRDefault="00A814AF" w:rsidP="00940E61">
      <w:pPr>
        <w:rPr>
          <w:rFonts w:ascii="Verdana" w:hAnsi="Verdana" w:cs="Arial"/>
          <w:sz w:val="24"/>
          <w:szCs w:val="24"/>
        </w:rPr>
      </w:pPr>
    </w:p>
    <w:p w14:paraId="496AEB6F" w14:textId="77777777" w:rsidR="00A814AF" w:rsidRPr="00940E61" w:rsidRDefault="00A814AF" w:rsidP="00940E61">
      <w:pPr>
        <w:numPr>
          <w:ilvl w:val="0"/>
          <w:numId w:val="11"/>
        </w:numPr>
        <w:spacing w:after="0" w:line="240" w:lineRule="auto"/>
        <w:contextualSpacing/>
        <w:rPr>
          <w:rFonts w:ascii="Verdana" w:hAnsi="Verdana" w:cs="Arial"/>
          <w:sz w:val="24"/>
          <w:szCs w:val="24"/>
        </w:rPr>
      </w:pPr>
      <w:proofErr w:type="spellStart"/>
      <w:r w:rsidRPr="00940E61">
        <w:rPr>
          <w:rFonts w:ascii="Verdana" w:hAnsi="Verdana" w:cs="Arial"/>
          <w:sz w:val="24"/>
          <w:szCs w:val="24"/>
        </w:rPr>
        <w:t>Organise</w:t>
      </w:r>
      <w:proofErr w:type="spellEnd"/>
      <w:r w:rsidRPr="00940E61">
        <w:rPr>
          <w:rFonts w:ascii="Verdana" w:hAnsi="Verdana" w:cs="Arial"/>
          <w:sz w:val="24"/>
          <w:szCs w:val="24"/>
        </w:rPr>
        <w:t xml:space="preserve"> relevant engagement events for the sector to share information, consult and promote good </w:t>
      </w:r>
      <w:proofErr w:type="gramStart"/>
      <w:r w:rsidRPr="00940E61">
        <w:rPr>
          <w:rFonts w:ascii="Verdana" w:hAnsi="Verdana" w:cs="Arial"/>
          <w:sz w:val="24"/>
          <w:szCs w:val="24"/>
        </w:rPr>
        <w:t>practice</w:t>
      </w:r>
      <w:proofErr w:type="gramEnd"/>
      <w:r w:rsidRPr="00940E61">
        <w:rPr>
          <w:rFonts w:ascii="Verdana" w:hAnsi="Verdana" w:cs="Arial"/>
          <w:sz w:val="24"/>
          <w:szCs w:val="24"/>
        </w:rPr>
        <w:t xml:space="preserve"> </w:t>
      </w:r>
    </w:p>
    <w:p w14:paraId="23364C03" w14:textId="69AB02E0" w:rsidR="0041456C" w:rsidRPr="00940E61" w:rsidRDefault="0041456C" w:rsidP="00940E61">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191C398"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FFA7211" w14:textId="77777777" w:rsidR="00BD4FD9" w:rsidRDefault="00BD4FD9" w:rsidP="79EE954F">
            <w:pPr>
              <w:pStyle w:val="ListParagraph"/>
              <w:spacing w:after="0" w:line="240" w:lineRule="auto"/>
              <w:ind w:left="0"/>
              <w:jc w:val="both"/>
              <w:rPr>
                <w:rFonts w:ascii="Gill Sans MT" w:eastAsia="Gill Sans MT" w:hAnsi="Gill Sans MT" w:cs="Gill Sans MT"/>
                <w:b/>
                <w:bCs/>
              </w:rPr>
            </w:pPr>
          </w:p>
          <w:p w14:paraId="15F6A4C9" w14:textId="77777777" w:rsidR="00BD4FD9" w:rsidRPr="00940E61" w:rsidRDefault="00BD4FD9" w:rsidP="00BD4FD9">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 relevant qualification at level 4 or equivalent and demonstrable health and / or adult social care sector experience.</w:t>
            </w:r>
          </w:p>
          <w:p w14:paraId="74AB4191" w14:textId="50094DCC" w:rsidR="00BD4FD9" w:rsidRPr="0041456C" w:rsidRDefault="00BD4FD9"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56729B22" w14:textId="77777777" w:rsidR="0041456C" w:rsidRDefault="0041456C" w:rsidP="0020240C">
            <w:pPr>
              <w:spacing w:line="240" w:lineRule="auto"/>
              <w:contextualSpacing/>
              <w:rPr>
                <w:rFonts w:ascii="Gill Sans MT" w:eastAsia="Gill Sans MT" w:hAnsi="Gill Sans MT"/>
              </w:rPr>
            </w:pPr>
          </w:p>
          <w:p w14:paraId="05B651C1" w14:textId="77777777" w:rsidR="00486F9A" w:rsidRPr="008266FE" w:rsidRDefault="00486F9A" w:rsidP="00486F9A">
            <w:pPr>
              <w:jc w:val="center"/>
              <w:rPr>
                <w:rFonts w:ascii="Gill Sans MT" w:eastAsia="Gill Sans MT" w:hAnsi="Gill Sans MT"/>
              </w:rPr>
            </w:pPr>
            <w:r w:rsidRPr="008266FE">
              <w:rPr>
                <w:rFonts w:ascii="Gill Sans MT" w:eastAsia="Gill Sans MT" w:hAnsi="Gill Sans MT"/>
              </w:rPr>
              <w:t>A/I/T</w:t>
            </w:r>
          </w:p>
          <w:p w14:paraId="4FA5215D" w14:textId="383B4FD6" w:rsidR="00486F9A" w:rsidRPr="00486F9A" w:rsidRDefault="00486F9A" w:rsidP="00486F9A">
            <w:pPr>
              <w:jc w:val="center"/>
              <w:rPr>
                <w:rFonts w:ascii="Gill Sans MT" w:eastAsia="Gill Sans MT" w:hAnsi="Gill Sans MT"/>
              </w:rPr>
            </w:pPr>
          </w:p>
        </w:tc>
      </w:tr>
      <w:tr w:rsidR="0041456C" w:rsidRPr="0041456C" w14:paraId="4FFAC253" w14:textId="77777777" w:rsidTr="003D7ACC">
        <w:trPr>
          <w:trHeight w:val="699"/>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t>Knowledge and Experience</w:t>
            </w:r>
          </w:p>
          <w:p w14:paraId="28AE7271" w14:textId="77777777" w:rsidR="0041456C" w:rsidRDefault="0041456C" w:rsidP="79EE954F">
            <w:pPr>
              <w:pStyle w:val="ListParagraph"/>
              <w:autoSpaceDE w:val="0"/>
              <w:autoSpaceDN w:val="0"/>
              <w:adjustRightInd w:val="0"/>
              <w:spacing w:after="0" w:line="240" w:lineRule="auto"/>
              <w:rPr>
                <w:rFonts w:ascii="Arial" w:eastAsia="Arial" w:hAnsi="Arial" w:cs="Arial"/>
              </w:rPr>
            </w:pPr>
          </w:p>
          <w:p w14:paraId="47691BD0" w14:textId="1355EAEF"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Knowledge of current pressures on the adult social care marketplace</w:t>
            </w:r>
          </w:p>
          <w:p w14:paraId="265CCE56" w14:textId="77777777" w:rsidR="006764D0" w:rsidRPr="00940E61" w:rsidRDefault="006764D0" w:rsidP="006764D0">
            <w:pPr>
              <w:ind w:left="306"/>
              <w:contextualSpacing/>
              <w:rPr>
                <w:rFonts w:ascii="Verdana" w:hAnsi="Verdana" w:cs="Arial"/>
                <w:sz w:val="24"/>
                <w:szCs w:val="24"/>
              </w:rPr>
            </w:pPr>
          </w:p>
          <w:p w14:paraId="51646F91"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Familiarity with the details and application of national policy and National Occupational Standards in Health &amp; Care</w:t>
            </w:r>
          </w:p>
          <w:p w14:paraId="1518DB9B" w14:textId="77777777" w:rsidR="006764D0" w:rsidRPr="00940E61" w:rsidRDefault="006764D0" w:rsidP="006764D0">
            <w:pPr>
              <w:pStyle w:val="ListParagraph"/>
              <w:spacing w:after="0"/>
              <w:ind w:left="306"/>
              <w:rPr>
                <w:rFonts w:ascii="Verdana" w:eastAsia="Times New Roman" w:hAnsi="Verdana"/>
                <w:sz w:val="24"/>
                <w:szCs w:val="24"/>
              </w:rPr>
            </w:pPr>
          </w:p>
          <w:p w14:paraId="75AD792F"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Thorough working knowledge of all qualifications required in the care sector and regulatory requirements e.g. CQC and Care Act 2014 </w:t>
            </w:r>
          </w:p>
          <w:p w14:paraId="1B0F02E7" w14:textId="77777777" w:rsidR="006764D0" w:rsidRPr="00940E61" w:rsidRDefault="006764D0" w:rsidP="006764D0">
            <w:pPr>
              <w:pStyle w:val="ListParagraph"/>
              <w:spacing w:after="0"/>
              <w:ind w:left="306"/>
              <w:rPr>
                <w:rFonts w:ascii="Verdana" w:eastAsia="Times New Roman" w:hAnsi="Verdana"/>
                <w:sz w:val="24"/>
                <w:szCs w:val="24"/>
              </w:rPr>
            </w:pPr>
          </w:p>
          <w:p w14:paraId="29EF1117"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Knowledge of the Performance Assessment Framework </w:t>
            </w:r>
          </w:p>
          <w:p w14:paraId="536F6989" w14:textId="77777777" w:rsidR="006764D0" w:rsidRPr="00940E61" w:rsidRDefault="006764D0" w:rsidP="006764D0">
            <w:pPr>
              <w:ind w:left="306"/>
              <w:contextualSpacing/>
              <w:rPr>
                <w:rFonts w:ascii="Verdana" w:hAnsi="Verdana" w:cs="Arial"/>
                <w:sz w:val="24"/>
                <w:szCs w:val="24"/>
              </w:rPr>
            </w:pPr>
          </w:p>
          <w:p w14:paraId="74307FDD" w14:textId="06B65DA7" w:rsidR="006764D0" w:rsidRPr="00940E61" w:rsidRDefault="006764D0" w:rsidP="006764D0">
            <w:pPr>
              <w:numPr>
                <w:ilvl w:val="0"/>
                <w:numId w:val="11"/>
              </w:numPr>
              <w:tabs>
                <w:tab w:val="num" w:pos="266"/>
              </w:tabs>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working in / quality assuring / directly supporting improvements within the adult social care provider marketplace</w:t>
            </w:r>
            <w:r w:rsidR="00EB30F6">
              <w:rPr>
                <w:rFonts w:ascii="Verdana" w:hAnsi="Verdana" w:cs="Arial"/>
                <w:sz w:val="24"/>
                <w:szCs w:val="24"/>
              </w:rPr>
              <w:t xml:space="preserve"> and/or health </w:t>
            </w:r>
            <w:r w:rsidRPr="00940E61">
              <w:rPr>
                <w:rFonts w:ascii="Verdana" w:hAnsi="Verdana" w:cs="Arial"/>
                <w:sz w:val="24"/>
                <w:szCs w:val="24"/>
              </w:rPr>
              <w:t>for a minimum of 2 years</w:t>
            </w:r>
          </w:p>
          <w:p w14:paraId="03A62BFD" w14:textId="77777777" w:rsidR="006764D0" w:rsidRPr="00940E61" w:rsidRDefault="006764D0" w:rsidP="006764D0">
            <w:pPr>
              <w:ind w:left="306"/>
              <w:contextualSpacing/>
              <w:rPr>
                <w:rFonts w:ascii="Verdana" w:hAnsi="Verdana" w:cs="Arial"/>
                <w:sz w:val="24"/>
                <w:szCs w:val="24"/>
              </w:rPr>
            </w:pPr>
          </w:p>
          <w:p w14:paraId="18F22F34" w14:textId="693A9D04" w:rsidR="006764D0" w:rsidRPr="00940E61" w:rsidRDefault="006764D0" w:rsidP="006764D0">
            <w:pPr>
              <w:numPr>
                <w:ilvl w:val="0"/>
                <w:numId w:val="11"/>
              </w:numPr>
              <w:tabs>
                <w:tab w:val="num" w:pos="266"/>
              </w:tabs>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troubleshooting, coaching / mentoring and provision of relevant advice and guidance to the adult social care provider marketplace</w:t>
            </w:r>
            <w:r w:rsidR="00EB30F6">
              <w:rPr>
                <w:rFonts w:ascii="Verdana" w:hAnsi="Verdana" w:cs="Arial"/>
                <w:sz w:val="24"/>
                <w:szCs w:val="24"/>
              </w:rPr>
              <w:t xml:space="preserve"> and/or health</w:t>
            </w:r>
          </w:p>
          <w:p w14:paraId="1E098A67" w14:textId="77777777" w:rsidR="006764D0" w:rsidRPr="00940E61" w:rsidRDefault="006764D0" w:rsidP="006764D0">
            <w:pPr>
              <w:ind w:left="306"/>
              <w:contextualSpacing/>
              <w:rPr>
                <w:rFonts w:ascii="Verdana" w:hAnsi="Verdana" w:cs="Arial"/>
                <w:sz w:val="24"/>
                <w:szCs w:val="24"/>
              </w:rPr>
            </w:pPr>
          </w:p>
          <w:p w14:paraId="6F0F40D8"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Experience of effective partnership working in a care related market.</w:t>
            </w:r>
          </w:p>
          <w:p w14:paraId="37379DD9" w14:textId="77777777" w:rsidR="006764D0" w:rsidRPr="00940E61" w:rsidRDefault="006764D0" w:rsidP="006764D0">
            <w:pPr>
              <w:ind w:left="306"/>
              <w:contextualSpacing/>
              <w:rPr>
                <w:rFonts w:ascii="Verdana" w:hAnsi="Verdana" w:cs="Arial"/>
                <w:sz w:val="24"/>
                <w:szCs w:val="24"/>
              </w:rPr>
            </w:pPr>
          </w:p>
          <w:p w14:paraId="6BAF5F94"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lastRenderedPageBreak/>
              <w:t xml:space="preserve">Effective communications with other agencies (such as providers of care or similar businesses or voluntary and community sector organisations) </w:t>
            </w:r>
          </w:p>
          <w:p w14:paraId="41F29120" w14:textId="77777777" w:rsidR="006764D0" w:rsidRPr="00940E61" w:rsidRDefault="006764D0" w:rsidP="006764D0">
            <w:pPr>
              <w:ind w:left="306"/>
              <w:contextualSpacing/>
              <w:rPr>
                <w:rFonts w:ascii="Verdana" w:hAnsi="Verdana" w:cs="Arial"/>
                <w:sz w:val="24"/>
                <w:szCs w:val="24"/>
              </w:rPr>
            </w:pPr>
          </w:p>
          <w:p w14:paraId="11B642E2" w14:textId="77777777" w:rsidR="006764D0" w:rsidRPr="00940E61"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Ability to develop and deliver training events in a collaborative and supportive </w:t>
            </w:r>
            <w:proofErr w:type="gramStart"/>
            <w:r w:rsidRPr="00940E61">
              <w:rPr>
                <w:rFonts w:ascii="Verdana" w:hAnsi="Verdana" w:cs="Arial"/>
                <w:sz w:val="24"/>
                <w:szCs w:val="24"/>
              </w:rPr>
              <w:t>manner</w:t>
            </w:r>
            <w:proofErr w:type="gramEnd"/>
          </w:p>
          <w:p w14:paraId="18308BCE" w14:textId="77777777" w:rsidR="006764D0" w:rsidRPr="00940E61" w:rsidRDefault="006764D0" w:rsidP="006764D0">
            <w:pPr>
              <w:ind w:left="306"/>
              <w:contextualSpacing/>
              <w:rPr>
                <w:rFonts w:ascii="Verdana" w:hAnsi="Verdana" w:cs="Arial"/>
                <w:sz w:val="24"/>
                <w:szCs w:val="24"/>
              </w:rPr>
            </w:pPr>
          </w:p>
          <w:p w14:paraId="19701E0D" w14:textId="09D09B9B" w:rsidR="006764D0" w:rsidRDefault="006764D0" w:rsidP="006764D0">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Application of research and analysis techniques to inform and review </w:t>
            </w:r>
            <w:proofErr w:type="gramStart"/>
            <w:r w:rsidRPr="00940E61">
              <w:rPr>
                <w:rFonts w:ascii="Verdana" w:hAnsi="Verdana" w:cs="Arial"/>
                <w:sz w:val="24"/>
                <w:szCs w:val="24"/>
              </w:rPr>
              <w:t>practice</w:t>
            </w:r>
            <w:proofErr w:type="gramEnd"/>
          </w:p>
          <w:p w14:paraId="2AA1458B" w14:textId="77777777" w:rsidR="00940E61" w:rsidRDefault="00940E61" w:rsidP="00940E61">
            <w:pPr>
              <w:pStyle w:val="ListParagraph"/>
              <w:rPr>
                <w:rFonts w:ascii="Verdana" w:hAnsi="Verdana" w:cs="Arial"/>
                <w:sz w:val="24"/>
                <w:szCs w:val="24"/>
              </w:rPr>
            </w:pPr>
          </w:p>
          <w:p w14:paraId="186B0F1C" w14:textId="410C8619" w:rsidR="006764D0" w:rsidRPr="00940E61" w:rsidRDefault="006764D0" w:rsidP="00F0737F">
            <w:pPr>
              <w:pStyle w:val="ListParagraph"/>
              <w:numPr>
                <w:ilvl w:val="0"/>
                <w:numId w:val="11"/>
              </w:numPr>
              <w:rPr>
                <w:rFonts w:ascii="Verdana" w:hAnsi="Verdana"/>
                <w:sz w:val="24"/>
                <w:szCs w:val="24"/>
              </w:rPr>
            </w:pPr>
            <w:r w:rsidRPr="00940E61">
              <w:rPr>
                <w:rFonts w:ascii="Verdana" w:hAnsi="Verdana" w:cs="Arial"/>
                <w:sz w:val="24"/>
                <w:szCs w:val="24"/>
              </w:rPr>
              <w:t>Experience of bid writing, report writing and project planning and project management</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7F33746" w:rsidR="0041456C" w:rsidRPr="0041456C" w:rsidRDefault="0041456C" w:rsidP="0020240C">
            <w:pPr>
              <w:spacing w:line="240" w:lineRule="auto"/>
              <w:contextualSpacing/>
              <w:rPr>
                <w:rFonts w:ascii="Gill Sans MT" w:eastAsia="Gill Sans MT" w:hAnsi="Gill Sans MT"/>
              </w:rPr>
            </w:pPr>
          </w:p>
          <w:p w14:paraId="13CBB912" w14:textId="77777777" w:rsidR="0041456C" w:rsidRDefault="0041456C" w:rsidP="0020240C">
            <w:pPr>
              <w:spacing w:line="240" w:lineRule="auto"/>
              <w:contextualSpacing/>
              <w:rPr>
                <w:rFonts w:ascii="Gill Sans MT" w:eastAsia="Gill Sans MT" w:hAnsi="Gill Sans MT"/>
              </w:rPr>
            </w:pPr>
          </w:p>
          <w:p w14:paraId="0987A5CF" w14:textId="77777777" w:rsidR="00D836D0" w:rsidRPr="008266FE" w:rsidRDefault="00D836D0" w:rsidP="00D836D0">
            <w:pPr>
              <w:jc w:val="center"/>
              <w:rPr>
                <w:rFonts w:ascii="Gill Sans MT" w:eastAsia="Gill Sans MT" w:hAnsi="Gill Sans MT"/>
              </w:rPr>
            </w:pPr>
            <w:r w:rsidRPr="008266FE">
              <w:rPr>
                <w:rFonts w:ascii="Gill Sans MT" w:eastAsia="Gill Sans MT" w:hAnsi="Gill Sans MT"/>
              </w:rPr>
              <w:t>A/I/T</w:t>
            </w:r>
          </w:p>
          <w:p w14:paraId="73459890" w14:textId="15CDD0B0" w:rsidR="00D836D0" w:rsidRPr="00D836D0" w:rsidRDefault="00D836D0" w:rsidP="00D836D0">
            <w:pPr>
              <w:ind w:firstLine="720"/>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11C4E5B1" w14:textId="77777777" w:rsidR="0041456C" w:rsidRDefault="0041456C" w:rsidP="0020240C">
            <w:pPr>
              <w:jc w:val="both"/>
              <w:rPr>
                <w:rFonts w:ascii="Arial" w:eastAsia="Arial" w:hAnsi="Arial" w:cs="Arial"/>
              </w:rPr>
            </w:pPr>
          </w:p>
          <w:p w14:paraId="49AC6981"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The ability to work as part of a team and to contribute to the development of services through a team </w:t>
            </w:r>
            <w:proofErr w:type="gramStart"/>
            <w:r w:rsidRPr="00940E61">
              <w:rPr>
                <w:rFonts w:ascii="Verdana" w:hAnsi="Verdana" w:cs="Arial"/>
                <w:sz w:val="24"/>
                <w:szCs w:val="24"/>
              </w:rPr>
              <w:t>approach</w:t>
            </w:r>
            <w:proofErr w:type="gramEnd"/>
            <w:r w:rsidRPr="00940E61">
              <w:rPr>
                <w:rFonts w:ascii="Verdana" w:hAnsi="Verdana" w:cs="Arial"/>
                <w:sz w:val="24"/>
                <w:szCs w:val="24"/>
              </w:rPr>
              <w:t xml:space="preserve"> </w:t>
            </w:r>
          </w:p>
          <w:p w14:paraId="76584829" w14:textId="77777777" w:rsidR="00944D6A" w:rsidRPr="00940E61" w:rsidRDefault="00944D6A" w:rsidP="00944D6A">
            <w:pPr>
              <w:ind w:left="306"/>
              <w:contextualSpacing/>
              <w:rPr>
                <w:rFonts w:ascii="Verdana" w:hAnsi="Verdana" w:cs="Arial"/>
                <w:sz w:val="24"/>
                <w:szCs w:val="24"/>
              </w:rPr>
            </w:pPr>
          </w:p>
          <w:p w14:paraId="33D545FB"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Good written and verbal communication skills </w:t>
            </w:r>
          </w:p>
          <w:p w14:paraId="17EA760B" w14:textId="77777777" w:rsidR="00944D6A" w:rsidRPr="00940E61" w:rsidRDefault="00944D6A" w:rsidP="00944D6A">
            <w:pPr>
              <w:pStyle w:val="ListParagraph"/>
              <w:spacing w:after="0" w:line="240" w:lineRule="auto"/>
              <w:rPr>
                <w:rFonts w:ascii="Verdana" w:hAnsi="Verdana"/>
                <w:sz w:val="24"/>
                <w:szCs w:val="24"/>
              </w:rPr>
            </w:pPr>
          </w:p>
          <w:p w14:paraId="18BF3EE4"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Good analytical, recording and report writing </w:t>
            </w:r>
            <w:proofErr w:type="gramStart"/>
            <w:r w:rsidRPr="00940E61">
              <w:rPr>
                <w:rFonts w:ascii="Verdana" w:hAnsi="Verdana" w:cs="Arial"/>
                <w:sz w:val="24"/>
                <w:szCs w:val="24"/>
              </w:rPr>
              <w:t>skills</w:t>
            </w:r>
            <w:proofErr w:type="gramEnd"/>
            <w:r w:rsidRPr="00940E61">
              <w:rPr>
                <w:rFonts w:ascii="Verdana" w:hAnsi="Verdana" w:cs="Arial"/>
                <w:sz w:val="24"/>
                <w:szCs w:val="24"/>
              </w:rPr>
              <w:t xml:space="preserve"> </w:t>
            </w:r>
          </w:p>
          <w:p w14:paraId="7BDC81D3" w14:textId="77777777" w:rsidR="00944D6A" w:rsidRPr="00940E61" w:rsidRDefault="00944D6A" w:rsidP="00944D6A">
            <w:pPr>
              <w:pStyle w:val="ListParagraph"/>
              <w:spacing w:after="0" w:line="240" w:lineRule="auto"/>
              <w:rPr>
                <w:rFonts w:ascii="Verdana" w:hAnsi="Verdana"/>
                <w:sz w:val="24"/>
                <w:szCs w:val="24"/>
              </w:rPr>
            </w:pPr>
          </w:p>
          <w:p w14:paraId="556D630D"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 xml:space="preserve">Ability to work independently using own initiative using good organisation, </w:t>
            </w:r>
            <w:proofErr w:type="spellStart"/>
            <w:r w:rsidRPr="00940E61">
              <w:rPr>
                <w:rFonts w:ascii="Verdana" w:hAnsi="Verdana" w:cs="Arial"/>
                <w:sz w:val="24"/>
                <w:szCs w:val="24"/>
              </w:rPr>
              <w:t>prioritisation</w:t>
            </w:r>
            <w:proofErr w:type="spellEnd"/>
            <w:r w:rsidRPr="00940E61">
              <w:rPr>
                <w:rFonts w:ascii="Verdana" w:hAnsi="Verdana" w:cs="Arial"/>
                <w:sz w:val="24"/>
                <w:szCs w:val="24"/>
              </w:rPr>
              <w:t xml:space="preserve"> and time management skills to support </w:t>
            </w:r>
            <w:proofErr w:type="gramStart"/>
            <w:r w:rsidRPr="00940E61">
              <w:rPr>
                <w:rFonts w:ascii="Verdana" w:hAnsi="Verdana" w:cs="Arial"/>
                <w:sz w:val="24"/>
                <w:szCs w:val="24"/>
              </w:rPr>
              <w:t>this</w:t>
            </w:r>
            <w:proofErr w:type="gramEnd"/>
          </w:p>
          <w:p w14:paraId="607DDD09" w14:textId="77777777" w:rsidR="00944D6A" w:rsidRPr="00940E61" w:rsidRDefault="00944D6A" w:rsidP="00944D6A">
            <w:pPr>
              <w:pStyle w:val="ListParagraph"/>
              <w:spacing w:after="0" w:line="240" w:lineRule="auto"/>
              <w:rPr>
                <w:rFonts w:ascii="Verdana" w:hAnsi="Verdana"/>
                <w:sz w:val="24"/>
                <w:szCs w:val="24"/>
              </w:rPr>
            </w:pPr>
          </w:p>
          <w:p w14:paraId="57959103"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Commitment to continuous professional development</w:t>
            </w:r>
          </w:p>
          <w:p w14:paraId="1FE90BC4" w14:textId="77777777" w:rsidR="00944D6A" w:rsidRPr="00940E61" w:rsidRDefault="00944D6A" w:rsidP="00944D6A">
            <w:pPr>
              <w:pStyle w:val="ListParagraph"/>
              <w:spacing w:after="0" w:line="240" w:lineRule="auto"/>
              <w:rPr>
                <w:rFonts w:ascii="Verdana" w:hAnsi="Verdana"/>
                <w:sz w:val="24"/>
                <w:szCs w:val="24"/>
              </w:rPr>
            </w:pPr>
          </w:p>
          <w:p w14:paraId="4A75125A"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 commitment to non-discriminatory practices in employment and service provision</w:t>
            </w:r>
          </w:p>
          <w:p w14:paraId="084DF0B9" w14:textId="77777777" w:rsidR="00944D6A" w:rsidRPr="00940E61" w:rsidRDefault="00944D6A" w:rsidP="00944D6A">
            <w:pPr>
              <w:pStyle w:val="ListParagraph"/>
              <w:spacing w:after="0" w:line="240" w:lineRule="auto"/>
              <w:rPr>
                <w:rFonts w:ascii="Verdana" w:hAnsi="Verdana"/>
                <w:sz w:val="24"/>
                <w:szCs w:val="24"/>
              </w:rPr>
            </w:pPr>
          </w:p>
          <w:p w14:paraId="31189D82"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cs="Arial"/>
                <w:sz w:val="24"/>
                <w:szCs w:val="24"/>
              </w:rPr>
              <w:t>Ability to deal sensitively and appropriately with issues relating to other people’s practice within a coaching and mentoring capacity and a performance management framework.</w:t>
            </w:r>
          </w:p>
          <w:p w14:paraId="185F55D4" w14:textId="77777777" w:rsidR="00944D6A" w:rsidRPr="00940E61" w:rsidRDefault="00944D6A" w:rsidP="00944D6A">
            <w:pPr>
              <w:pStyle w:val="ListParagraph"/>
              <w:spacing w:after="0" w:line="240" w:lineRule="auto"/>
              <w:rPr>
                <w:rFonts w:ascii="Verdana" w:hAnsi="Verdana"/>
                <w:sz w:val="24"/>
                <w:szCs w:val="24"/>
              </w:rPr>
            </w:pPr>
          </w:p>
          <w:p w14:paraId="1C6C5213" w14:textId="77777777" w:rsidR="00944D6A" w:rsidRPr="00940E61" w:rsidRDefault="00944D6A" w:rsidP="00944D6A">
            <w:pPr>
              <w:numPr>
                <w:ilvl w:val="0"/>
                <w:numId w:val="11"/>
              </w:numPr>
              <w:spacing w:after="0" w:line="240" w:lineRule="auto"/>
              <w:ind w:left="306" w:hanging="283"/>
              <w:contextualSpacing/>
              <w:rPr>
                <w:rFonts w:ascii="Verdana" w:hAnsi="Verdana" w:cs="Arial"/>
                <w:sz w:val="24"/>
                <w:szCs w:val="24"/>
              </w:rPr>
            </w:pPr>
            <w:r w:rsidRPr="00940E61">
              <w:rPr>
                <w:rFonts w:ascii="Verdana" w:hAnsi="Verdana"/>
                <w:sz w:val="24"/>
                <w:szCs w:val="24"/>
              </w:rPr>
              <w:t>Working knowledge of Microsoft packages</w:t>
            </w:r>
          </w:p>
          <w:p w14:paraId="02957541" w14:textId="77777777" w:rsidR="00944D6A" w:rsidRPr="00E977FF" w:rsidRDefault="00944D6A" w:rsidP="00944D6A">
            <w:pPr>
              <w:ind w:left="306"/>
              <w:contextualSpacing/>
              <w:rPr>
                <w:rFonts w:ascii="Gill Sans MT" w:hAnsi="Gill Sans MT" w:cs="Arial"/>
              </w:rPr>
            </w:pPr>
          </w:p>
          <w:p w14:paraId="0EFD44B0" w14:textId="3ABFE3A1" w:rsidR="00944D6A" w:rsidRPr="0041456C" w:rsidRDefault="00944D6A" w:rsidP="00944D6A">
            <w:pPr>
              <w:jc w:val="both"/>
              <w:rPr>
                <w:rFonts w:ascii="Arial" w:eastAsia="Arial" w:hAnsi="Arial" w:cs="Arial"/>
              </w:rPr>
            </w:pPr>
            <w:r w:rsidRPr="005E5612">
              <w:rPr>
                <w:rFonts w:ascii="Gill Sans MT" w:hAnsi="Gill Sans MT" w:cs="Arial"/>
              </w:rPr>
              <w:t>This post is designated as a casual car user</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26FB84DA" w14:textId="77777777" w:rsidR="0041456C" w:rsidRDefault="0041456C" w:rsidP="0020240C">
            <w:pPr>
              <w:spacing w:line="240" w:lineRule="auto"/>
              <w:contextualSpacing/>
              <w:jc w:val="center"/>
              <w:rPr>
                <w:rFonts w:ascii="Gill Sans MT" w:eastAsia="Gill Sans MT" w:hAnsi="Gill Sans MT"/>
              </w:rPr>
            </w:pPr>
          </w:p>
          <w:p w14:paraId="1A2479DC" w14:textId="77777777" w:rsidR="003D7ACC" w:rsidRPr="008266FE" w:rsidRDefault="003D7ACC" w:rsidP="003D7ACC">
            <w:pPr>
              <w:jc w:val="center"/>
              <w:rPr>
                <w:rFonts w:ascii="Gill Sans MT" w:eastAsia="Gill Sans MT" w:hAnsi="Gill Sans MT"/>
              </w:rPr>
            </w:pPr>
            <w:r w:rsidRPr="008266FE">
              <w:rPr>
                <w:rFonts w:ascii="Gill Sans MT" w:eastAsia="Gill Sans MT" w:hAnsi="Gill Sans MT"/>
              </w:rPr>
              <w:t>A/I/T</w:t>
            </w:r>
          </w:p>
          <w:p w14:paraId="41C6BA5A" w14:textId="375730E5" w:rsidR="003D7ACC" w:rsidRPr="003D7ACC" w:rsidRDefault="003D7ACC" w:rsidP="003D7ACC">
            <w:pPr>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w:t>
      </w:r>
      <w:proofErr w:type="gramStart"/>
      <w:r w:rsidRPr="0020240C">
        <w:rPr>
          <w:rFonts w:ascii="Verdana" w:hAnsi="Verdana"/>
        </w:rPr>
        <w:t>user</w:t>
      </w:r>
      <w:proofErr w:type="gramEnd"/>
      <w:r w:rsidRPr="0020240C">
        <w:rPr>
          <w:rFonts w:ascii="Verdana" w:hAnsi="Verdana"/>
        </w:rPr>
        <w:t xml:space="preserve">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ED2E" w14:textId="77777777" w:rsidR="003D7AC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1997FD5A" w14:textId="24C87D91" w:rsidR="0041456C" w:rsidRPr="00FE537E" w:rsidRDefault="00FE537E" w:rsidP="0041456C">
                            <w:pPr>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3A85ED2E" w14:textId="77777777" w:rsidR="003D7AC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1997FD5A" w14:textId="24C87D91" w:rsidR="0041456C" w:rsidRPr="00FE537E" w:rsidRDefault="00FE537E" w:rsidP="0041456C">
                      <w:pPr>
                        <w:jc w:val="center"/>
                        <w:rPr>
                          <w:rFonts w:ascii="Verdana" w:eastAsia="Gill Sans MT" w:hAnsi="Verdana" w:cs="Arial"/>
                          <w:b/>
                          <w:sz w:val="28"/>
                          <w:szCs w:val="28"/>
                        </w:rPr>
                      </w:pPr>
                      <w:r w:rsidRPr="00FE537E">
                        <w:rPr>
                          <w:rFonts w:ascii="Verdana" w:eastAsia="Gill Sans MT" w:hAnsi="Verdana" w:cs="Arial"/>
                          <w:b/>
                          <w:sz w:val="28"/>
                          <w:szCs w:val="28"/>
                        </w:rPr>
                        <w:t xml:space="preserve">Liberata Employee Services Team </w:t>
                      </w:r>
                      <w:r w:rsidR="0041456C"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BB5422">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D0EA" w14:textId="77777777" w:rsidR="00BB5422" w:rsidRDefault="00BB5422" w:rsidP="003E7AA3">
      <w:pPr>
        <w:spacing w:after="0" w:line="240" w:lineRule="auto"/>
      </w:pPr>
      <w:r>
        <w:separator/>
      </w:r>
    </w:p>
  </w:endnote>
  <w:endnote w:type="continuationSeparator" w:id="0">
    <w:p w14:paraId="2420A865" w14:textId="77777777" w:rsidR="00BB5422" w:rsidRDefault="00BB5422" w:rsidP="003E7AA3">
      <w:pPr>
        <w:spacing w:after="0" w:line="240" w:lineRule="auto"/>
      </w:pPr>
      <w:r>
        <w:continuationSeparator/>
      </w:r>
    </w:p>
  </w:endnote>
  <w:endnote w:type="continuationNotice" w:id="1">
    <w:p w14:paraId="6B62DDF7" w14:textId="77777777" w:rsidR="00BB5422" w:rsidRDefault="00BB5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284CF" w14:textId="77777777" w:rsidR="00BB5422" w:rsidRDefault="00BB5422" w:rsidP="003E7AA3">
      <w:pPr>
        <w:spacing w:after="0" w:line="240" w:lineRule="auto"/>
      </w:pPr>
      <w:r>
        <w:separator/>
      </w:r>
    </w:p>
  </w:footnote>
  <w:footnote w:type="continuationSeparator" w:id="0">
    <w:p w14:paraId="4061B81A" w14:textId="77777777" w:rsidR="00BB5422" w:rsidRDefault="00BB5422" w:rsidP="003E7AA3">
      <w:pPr>
        <w:spacing w:after="0" w:line="240" w:lineRule="auto"/>
      </w:pPr>
      <w:r>
        <w:continuationSeparator/>
      </w:r>
    </w:p>
  </w:footnote>
  <w:footnote w:type="continuationNotice" w:id="1">
    <w:p w14:paraId="677D0D27" w14:textId="77777777" w:rsidR="00BB5422" w:rsidRDefault="00BB54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71AB0A5E" w:rsidR="0041456C" w:rsidRDefault="00655275" w:rsidP="00EE50CC">
    <w:r>
      <w:rPr>
        <w:noProof/>
      </w:rPr>
      <mc:AlternateContent>
        <mc:Choice Requires="wps">
          <w:drawing>
            <wp:anchor distT="45720" distB="45720" distL="114300" distR="114300" simplePos="0" relativeHeight="251658242" behindDoc="0" locked="0" layoutInCell="1" allowOverlap="1" wp14:anchorId="7F3A27DA" wp14:editId="7FE2A403">
              <wp:simplePos x="0" y="0"/>
              <wp:positionH relativeFrom="column">
                <wp:posOffset>346710</wp:posOffset>
              </wp:positionH>
              <wp:positionV relativeFrom="paragraph">
                <wp:posOffset>271780</wp:posOffset>
              </wp:positionV>
              <wp:extent cx="5678170" cy="2222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170" cy="222250"/>
                      </a:xfrm>
                      <a:prstGeom prst="rect">
                        <a:avLst/>
                      </a:prstGeom>
                      <a:noFill/>
                      <a:ln w="9525">
                        <a:noFill/>
                        <a:miter lim="800000"/>
                        <a:headEnd/>
                        <a:tailEnd/>
                      </a:ln>
                    </wps:spPr>
                    <wps:txbx>
                      <w:txbxContent>
                        <w:p w14:paraId="1663A4A4" w14:textId="59A37F81" w:rsidR="0041456C" w:rsidRPr="00EE50CC" w:rsidRDefault="00655275" w:rsidP="00816AA1">
                          <w:pPr>
                            <w:pStyle w:val="inner-page-title"/>
                            <w:rPr>
                              <w:caps/>
                            </w:rPr>
                          </w:pPr>
                          <w:r>
                            <w:t xml:space="preserve">Health and Care </w:t>
                          </w:r>
                          <w:r w:rsidR="0041456C" w:rsidRPr="00EE50CC">
                            <w:t>–</w:t>
                          </w:r>
                          <w:r>
                            <w:t xml:space="preserve"> Care Market Development Team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7.3pt;margin-top:21.4pt;width:447.1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" filled="f" stroked="f">
              <v:textbox inset="0,0,0,0">
                <w:txbxContent>
                  <w:p w14:paraId="1663A4A4" w14:textId="59A37F81" w:rsidR="0041456C" w:rsidRPr="00EE50CC" w:rsidRDefault="00655275" w:rsidP="00816AA1">
                    <w:pPr>
                      <w:pStyle w:val="inner-page-title"/>
                      <w:rPr>
                        <w:caps/>
                      </w:rPr>
                    </w:pPr>
                    <w:r>
                      <w:t xml:space="preserve">Health and Care </w:t>
                    </w:r>
                    <w:r w:rsidR="0041456C" w:rsidRPr="00EE50CC">
                      <w:t>–</w:t>
                    </w:r>
                    <w:r>
                      <w:t xml:space="preserve"> Care Market Development Team</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B2B4D8E">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A92"/>
    <w:multiLevelType w:val="hybridMultilevel"/>
    <w:tmpl w:val="2162E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C5432"/>
    <w:multiLevelType w:val="hybridMultilevel"/>
    <w:tmpl w:val="82242D2A"/>
    <w:lvl w:ilvl="0" w:tplc="FE9C2A7E">
      <w:start w:val="1"/>
      <w:numFmt w:val="bullet"/>
      <w:lvlText w:val="·"/>
      <w:lvlJc w:val="left"/>
      <w:pPr>
        <w:ind w:left="720" w:hanging="360"/>
      </w:pPr>
      <w:rPr>
        <w:rFonts w:ascii="Symbol" w:hAnsi="Symbol" w:hint="default"/>
      </w:rPr>
    </w:lvl>
    <w:lvl w:ilvl="1" w:tplc="931E7BD6">
      <w:start w:val="1"/>
      <w:numFmt w:val="bullet"/>
      <w:lvlText w:val="o"/>
      <w:lvlJc w:val="left"/>
      <w:pPr>
        <w:ind w:left="1440" w:hanging="360"/>
      </w:pPr>
      <w:rPr>
        <w:rFonts w:ascii="Courier New" w:hAnsi="Courier New" w:hint="default"/>
      </w:rPr>
    </w:lvl>
    <w:lvl w:ilvl="2" w:tplc="4A68D9E0">
      <w:start w:val="1"/>
      <w:numFmt w:val="bullet"/>
      <w:lvlText w:val=""/>
      <w:lvlJc w:val="left"/>
      <w:pPr>
        <w:ind w:left="2160" w:hanging="360"/>
      </w:pPr>
      <w:rPr>
        <w:rFonts w:ascii="Wingdings" w:hAnsi="Wingdings" w:hint="default"/>
      </w:rPr>
    </w:lvl>
    <w:lvl w:ilvl="3" w:tplc="F2F4FA9A">
      <w:start w:val="1"/>
      <w:numFmt w:val="bullet"/>
      <w:lvlText w:val=""/>
      <w:lvlJc w:val="left"/>
      <w:pPr>
        <w:ind w:left="2880" w:hanging="360"/>
      </w:pPr>
      <w:rPr>
        <w:rFonts w:ascii="Symbol" w:hAnsi="Symbol" w:hint="default"/>
      </w:rPr>
    </w:lvl>
    <w:lvl w:ilvl="4" w:tplc="882C65BA">
      <w:start w:val="1"/>
      <w:numFmt w:val="bullet"/>
      <w:lvlText w:val="o"/>
      <w:lvlJc w:val="left"/>
      <w:pPr>
        <w:ind w:left="3600" w:hanging="360"/>
      </w:pPr>
      <w:rPr>
        <w:rFonts w:ascii="Courier New" w:hAnsi="Courier New" w:hint="default"/>
      </w:rPr>
    </w:lvl>
    <w:lvl w:ilvl="5" w:tplc="27D0A44E">
      <w:start w:val="1"/>
      <w:numFmt w:val="bullet"/>
      <w:lvlText w:val=""/>
      <w:lvlJc w:val="left"/>
      <w:pPr>
        <w:ind w:left="4320" w:hanging="360"/>
      </w:pPr>
      <w:rPr>
        <w:rFonts w:ascii="Wingdings" w:hAnsi="Wingdings" w:hint="default"/>
      </w:rPr>
    </w:lvl>
    <w:lvl w:ilvl="6" w:tplc="AE9E7F50">
      <w:start w:val="1"/>
      <w:numFmt w:val="bullet"/>
      <w:lvlText w:val=""/>
      <w:lvlJc w:val="left"/>
      <w:pPr>
        <w:ind w:left="5040" w:hanging="360"/>
      </w:pPr>
      <w:rPr>
        <w:rFonts w:ascii="Symbol" w:hAnsi="Symbol" w:hint="default"/>
      </w:rPr>
    </w:lvl>
    <w:lvl w:ilvl="7" w:tplc="919A2572">
      <w:start w:val="1"/>
      <w:numFmt w:val="bullet"/>
      <w:lvlText w:val="o"/>
      <w:lvlJc w:val="left"/>
      <w:pPr>
        <w:ind w:left="5760" w:hanging="360"/>
      </w:pPr>
      <w:rPr>
        <w:rFonts w:ascii="Courier New" w:hAnsi="Courier New" w:hint="default"/>
      </w:rPr>
    </w:lvl>
    <w:lvl w:ilvl="8" w:tplc="D53044F0">
      <w:start w:val="1"/>
      <w:numFmt w:val="bullet"/>
      <w:lvlText w:val=""/>
      <w:lvlJc w:val="left"/>
      <w:pPr>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5"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9"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2976">
    <w:abstractNumId w:val="2"/>
  </w:num>
  <w:num w:numId="2" w16cid:durableId="2135364039">
    <w:abstractNumId w:val="5"/>
  </w:num>
  <w:num w:numId="3" w16cid:durableId="605164115">
    <w:abstractNumId w:val="4"/>
  </w:num>
  <w:num w:numId="4" w16cid:durableId="366566817">
    <w:abstractNumId w:val="9"/>
  </w:num>
  <w:num w:numId="5" w16cid:durableId="1235046468">
    <w:abstractNumId w:val="3"/>
  </w:num>
  <w:num w:numId="6" w16cid:durableId="1732070164">
    <w:abstractNumId w:val="8"/>
  </w:num>
  <w:num w:numId="7" w16cid:durableId="1495797022">
    <w:abstractNumId w:val="7"/>
  </w:num>
  <w:num w:numId="8" w16cid:durableId="1569733110">
    <w:abstractNumId w:val="10"/>
  </w:num>
  <w:num w:numId="9" w16cid:durableId="398402596">
    <w:abstractNumId w:val="6"/>
  </w:num>
  <w:num w:numId="10" w16cid:durableId="683946491">
    <w:abstractNumId w:val="0"/>
  </w:num>
  <w:num w:numId="11" w16cid:durableId="68217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0240C"/>
    <w:rsid w:val="00213480"/>
    <w:rsid w:val="00261654"/>
    <w:rsid w:val="00265281"/>
    <w:rsid w:val="002843D0"/>
    <w:rsid w:val="002D413B"/>
    <w:rsid w:val="00316CA7"/>
    <w:rsid w:val="003D7ACC"/>
    <w:rsid w:val="003E7AA3"/>
    <w:rsid w:val="003F50AB"/>
    <w:rsid w:val="0041456C"/>
    <w:rsid w:val="00465664"/>
    <w:rsid w:val="00486F9A"/>
    <w:rsid w:val="00535B0F"/>
    <w:rsid w:val="00614EF7"/>
    <w:rsid w:val="00634637"/>
    <w:rsid w:val="00655275"/>
    <w:rsid w:val="00671CC9"/>
    <w:rsid w:val="006764D0"/>
    <w:rsid w:val="006D4245"/>
    <w:rsid w:val="0074235D"/>
    <w:rsid w:val="00770B6C"/>
    <w:rsid w:val="007813E7"/>
    <w:rsid w:val="00797BFE"/>
    <w:rsid w:val="007A6708"/>
    <w:rsid w:val="0080309F"/>
    <w:rsid w:val="00816AA1"/>
    <w:rsid w:val="00872B70"/>
    <w:rsid w:val="008B4F3B"/>
    <w:rsid w:val="00940E61"/>
    <w:rsid w:val="009446C3"/>
    <w:rsid w:val="00944D6A"/>
    <w:rsid w:val="0096580A"/>
    <w:rsid w:val="00977EA1"/>
    <w:rsid w:val="0099470D"/>
    <w:rsid w:val="009D047A"/>
    <w:rsid w:val="00A12F9B"/>
    <w:rsid w:val="00A34FE9"/>
    <w:rsid w:val="00A645DA"/>
    <w:rsid w:val="00A814AF"/>
    <w:rsid w:val="00AD6686"/>
    <w:rsid w:val="00B40247"/>
    <w:rsid w:val="00B60A08"/>
    <w:rsid w:val="00B9509B"/>
    <w:rsid w:val="00BB233B"/>
    <w:rsid w:val="00BB5422"/>
    <w:rsid w:val="00BD4FD9"/>
    <w:rsid w:val="00C20BE9"/>
    <w:rsid w:val="00C7244E"/>
    <w:rsid w:val="00C86E78"/>
    <w:rsid w:val="00CD038B"/>
    <w:rsid w:val="00CF33CD"/>
    <w:rsid w:val="00D836D0"/>
    <w:rsid w:val="00DF0A92"/>
    <w:rsid w:val="00E10E8D"/>
    <w:rsid w:val="00E425A2"/>
    <w:rsid w:val="00EB30F6"/>
    <w:rsid w:val="00EC0C4E"/>
    <w:rsid w:val="00EE50CC"/>
    <w:rsid w:val="00F0737F"/>
    <w:rsid w:val="00F72F3D"/>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84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937bee-205c-4be1-99ac-1939bcf6d1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B4B244B0EE5943A9454BE6C7920702" ma:contentTypeVersion="12" ma:contentTypeDescription="Create a new document." ma:contentTypeScope="" ma:versionID="a8968d1a4b58858c96f18dcb60945e70">
  <xsd:schema xmlns:xsd="http://www.w3.org/2001/XMLSchema" xmlns:xs="http://www.w3.org/2001/XMLSchema" xmlns:p="http://schemas.microsoft.com/office/2006/metadata/properties" xmlns:ns2="94937bee-205c-4be1-99ac-1939bcf6d15b" xmlns:ns3="097e9429-6bc9-40d8-8d29-f3462114a5c4" targetNamespace="http://schemas.microsoft.com/office/2006/metadata/properties" ma:root="true" ma:fieldsID="5af87a326a0016d47cbe6eff8e93c807" ns2:_="" ns3:_="">
    <xsd:import namespace="94937bee-205c-4be1-99ac-1939bcf6d15b"/>
    <xsd:import namespace="097e9429-6bc9-40d8-8d29-f3462114a5c4"/>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37bee-205c-4be1-99ac-1939bcf6d15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e9429-6bc9-40d8-8d29-f3462114a5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openxmlformats.org/package/2006/metadata/core-properties"/>
    <ds:schemaRef ds:uri="http://schemas.microsoft.com/office/2006/documentManagement/types"/>
    <ds:schemaRef ds:uri="http://schemas.microsoft.com/office/infopath/2007/PartnerControls"/>
    <ds:schemaRef ds:uri="94937bee-205c-4be1-99ac-1939bcf6d15b"/>
    <ds:schemaRef ds:uri="http://purl.org/dc/elements/1.1/"/>
    <ds:schemaRef ds:uri="http://schemas.microsoft.com/office/2006/metadata/properties"/>
    <ds:schemaRef ds:uri="http://purl.org/dc/terms/"/>
    <ds:schemaRef ds:uri="097e9429-6bc9-40d8-8d29-f3462114a5c4"/>
    <ds:schemaRef ds:uri="http://www.w3.org/XML/1998/namespace"/>
    <ds:schemaRef ds:uri="http://purl.org/dc/dcmityp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61255800-EEF4-4D8C-AB99-12825319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37bee-205c-4be1-99ac-1939bcf6d15b"/>
    <ds:schemaRef ds:uri="097e9429-6bc9-40d8-8d29-f3462114a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Johnston, Laura (H&amp;C)</cp:lastModifiedBy>
  <cp:revision>2</cp:revision>
  <dcterms:created xsi:type="dcterms:W3CDTF">2024-04-23T08:57:00Z</dcterms:created>
  <dcterms:modified xsi:type="dcterms:W3CDTF">2024-04-23T08:57:00Z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0x01010098B4B244B0EE5943A9454BE6C7920702</vt:lpwstr>
  </property>
  <property fmtid="{D5CDD505-2E9C-101B-9397-08002B2CF9AE}" pid="3" name="Order">
    <vt:r8>100</vt:r8>
  </property>
  <property fmtid="{D5CDD505-2E9C-101B-9397-08002B2CF9AE}" pid="4" name="MediaServiceImageTags">
    <vt:lpwstr/>
  </property>
</Properties>
</file>