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D30F1" w14:textId="39D6B3AD" w:rsidR="00D05DC9" w:rsidRDefault="001F3113" w:rsidP="0094343E">
      <w:pPr>
        <w:pStyle w:val="JobTitle"/>
        <w:ind w:right="-77"/>
        <w:rPr>
          <w:sz w:val="32"/>
          <w:szCs w:val="32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E9867A" w:rsidRPr="51719A25">
        <w:rPr>
          <w:sz w:val="32"/>
          <w:szCs w:val="32"/>
        </w:rPr>
        <w:t>Job Title</w:t>
      </w:r>
      <w:r w:rsidR="49A15F79" w:rsidRPr="51719A25">
        <w:rPr>
          <w:sz w:val="32"/>
          <w:szCs w:val="32"/>
        </w:rPr>
        <w:t xml:space="preserve"> </w:t>
      </w:r>
      <w:r w:rsidR="003707FB">
        <w:rPr>
          <w:sz w:val="32"/>
          <w:szCs w:val="32"/>
        </w:rPr>
        <w:t>Quality Assurance Manager</w:t>
      </w:r>
    </w:p>
    <w:p w14:paraId="18320E88" w14:textId="61DE7413" w:rsidR="00816AA1" w:rsidRDefault="49A15F79" w:rsidP="00D81FE9">
      <w:pPr>
        <w:pStyle w:val="JobTitle"/>
        <w:ind w:right="774"/>
        <w:rPr>
          <w:sz w:val="32"/>
          <w:szCs w:val="32"/>
        </w:rPr>
      </w:pPr>
      <w:r w:rsidRPr="3337517E">
        <w:rPr>
          <w:sz w:val="32"/>
          <w:szCs w:val="32"/>
        </w:rPr>
        <w:t>Grade</w:t>
      </w:r>
      <w:r w:rsidR="41D18CB4" w:rsidRPr="3337517E">
        <w:rPr>
          <w:sz w:val="32"/>
          <w:szCs w:val="32"/>
        </w:rPr>
        <w:t xml:space="preserve"> </w:t>
      </w:r>
      <w:r w:rsidR="003707FB">
        <w:rPr>
          <w:sz w:val="32"/>
          <w:szCs w:val="32"/>
        </w:rPr>
        <w:t>10</w:t>
      </w:r>
    </w:p>
    <w:p w14:paraId="12C8BA94" w14:textId="1952FD02" w:rsidR="13E7D087" w:rsidRDefault="13E7D087" w:rsidP="00D81FE9">
      <w:pPr>
        <w:pStyle w:val="JobTitle"/>
        <w:ind w:right="774"/>
      </w:pPr>
    </w:p>
    <w:p w14:paraId="449A529D" w14:textId="77777777" w:rsidR="00D05DC9" w:rsidRDefault="00D05DC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</w:p>
    <w:p w14:paraId="05EF42B5" w14:textId="2417EAE0" w:rsidR="001F3113" w:rsidRDefault="49A15F7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0CD5DDD9" w14:textId="7B901CBC" w:rsidR="1777271E" w:rsidRDefault="1777271E" w:rsidP="00D81FE9">
      <w:pPr>
        <w:spacing w:line="288" w:lineRule="auto"/>
        <w:ind w:right="774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Default="2B77B527" w:rsidP="00D81FE9">
      <w:pPr>
        <w:pStyle w:val="Body-text"/>
        <w:ind w:right="774"/>
      </w:pPr>
    </w:p>
    <w:p w14:paraId="7C9A647E" w14:textId="6874233B" w:rsidR="00816AA1" w:rsidRDefault="00816AA1" w:rsidP="00D81FE9">
      <w:pPr>
        <w:pStyle w:val="Body-Bold"/>
        <w:ind w:right="774"/>
        <w:rPr>
          <w:rFonts w:cs="Avenir Roman"/>
        </w:rPr>
      </w:pPr>
      <w:r>
        <w:t>Our Outcomes</w:t>
      </w:r>
    </w:p>
    <w:p w14:paraId="4300B294" w14:textId="7071A81E" w:rsidR="72F261EF" w:rsidRDefault="72F261EF" w:rsidP="00D81FE9">
      <w:pPr>
        <w:pStyle w:val="Bullets"/>
        <w:numPr>
          <w:ilvl w:val="0"/>
          <w:numId w:val="0"/>
        </w:numPr>
        <w:ind w:right="774"/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94343E">
      <w:pPr>
        <w:pStyle w:val="ListParagraph"/>
        <w:numPr>
          <w:ilvl w:val="0"/>
          <w:numId w:val="16"/>
        </w:numPr>
        <w:spacing w:line="288" w:lineRule="auto"/>
        <w:ind w:right="65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D81FE9">
      <w:pPr>
        <w:pStyle w:val="Body-Bold"/>
        <w:ind w:right="774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D81FE9">
      <w:pPr>
        <w:pStyle w:val="Body-text"/>
        <w:ind w:right="774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EC295AA" w:rsidR="00816AA1" w:rsidRPr="001F3113" w:rsidRDefault="00816AA1" w:rsidP="00D81FE9">
      <w:pPr>
        <w:pStyle w:val="Bullets"/>
        <w:spacing w:before="240"/>
        <w:ind w:right="774"/>
      </w:pPr>
      <w:r>
        <w:t xml:space="preserve">Ambitious – We are ambitious for our communities and </w:t>
      </w:r>
      <w:r w:rsidR="65E9A44D">
        <w:t>the people of Staffordshire</w:t>
      </w:r>
    </w:p>
    <w:p w14:paraId="7FAB97AC" w14:textId="58EF0E79" w:rsidR="00816AA1" w:rsidRPr="001F3113" w:rsidRDefault="00816AA1" w:rsidP="00D81FE9">
      <w:pPr>
        <w:pStyle w:val="Bullets"/>
        <w:ind w:right="774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D81FE9">
      <w:pPr>
        <w:pStyle w:val="Bullets"/>
        <w:ind w:right="774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BFEB554" w14:textId="77777777" w:rsidR="00EF7CBE" w:rsidRDefault="00EF7CBE" w:rsidP="00EF7CBE">
      <w:pPr>
        <w:pStyle w:val="Body-Bold"/>
        <w:jc w:val="both"/>
      </w:pPr>
      <w:r w:rsidRPr="001F3113">
        <w:t>About the Service</w:t>
      </w:r>
    </w:p>
    <w:p w14:paraId="557F3061" w14:textId="77777777" w:rsidR="00EF7CBE" w:rsidRPr="00B57A93" w:rsidRDefault="00EF7CBE" w:rsidP="00EF7CBE">
      <w:pPr>
        <w:pStyle w:val="Body-Bold"/>
        <w:jc w:val="both"/>
      </w:pPr>
      <w:r w:rsidRPr="00B57A93">
        <w:t>Directorate Purpose and Values:</w:t>
      </w:r>
    </w:p>
    <w:p w14:paraId="0B6FE36A" w14:textId="77777777" w:rsidR="00EF7CBE" w:rsidRPr="00B57A93" w:rsidRDefault="00EF7CBE" w:rsidP="00EF7CBE">
      <w:pPr>
        <w:pStyle w:val="Body-Bold"/>
        <w:jc w:val="both"/>
        <w:rPr>
          <w:b w:val="0"/>
          <w:bCs w:val="0"/>
        </w:rPr>
      </w:pPr>
      <w:r w:rsidRPr="00B57A93">
        <w:rPr>
          <w:b w:val="0"/>
          <w:bCs w:val="0"/>
        </w:rPr>
        <w:t xml:space="preserve">Staffordshire County Council is one of the largest local authorities in the UK with an ambitious vision for Staffordshire and its people. Achievement of that vision </w:t>
      </w:r>
      <w:r w:rsidRPr="00B57A93">
        <w:rPr>
          <w:b w:val="0"/>
          <w:bCs w:val="0"/>
        </w:rPr>
        <w:lastRenderedPageBreak/>
        <w:t xml:space="preserve">will be underpinned by the support of the </w:t>
      </w:r>
      <w:r>
        <w:rPr>
          <w:b w:val="0"/>
          <w:bCs w:val="0"/>
        </w:rPr>
        <w:t>C</w:t>
      </w:r>
      <w:r w:rsidRPr="00B57A93">
        <w:rPr>
          <w:b w:val="0"/>
          <w:bCs w:val="0"/>
        </w:rPr>
        <w:t xml:space="preserve">ounty </w:t>
      </w:r>
      <w:r>
        <w:rPr>
          <w:b w:val="0"/>
          <w:bCs w:val="0"/>
        </w:rPr>
        <w:t>C</w:t>
      </w:r>
      <w:r w:rsidRPr="00B57A93">
        <w:rPr>
          <w:b w:val="0"/>
          <w:bCs w:val="0"/>
        </w:rPr>
        <w:t xml:space="preserve">ouncil’s Economy, Infrastructure and Skills </w:t>
      </w:r>
      <w:r>
        <w:rPr>
          <w:b w:val="0"/>
          <w:bCs w:val="0"/>
        </w:rPr>
        <w:t>D</w:t>
      </w:r>
      <w:r w:rsidRPr="00B57A93">
        <w:rPr>
          <w:b w:val="0"/>
          <w:bCs w:val="0"/>
        </w:rPr>
        <w:t>irectorate (EIS).</w:t>
      </w:r>
      <w:r w:rsidRPr="00B57A93">
        <w:t xml:space="preserve">  </w:t>
      </w:r>
      <w:r w:rsidRPr="00B57A93">
        <w:rPr>
          <w:b w:val="0"/>
          <w:bCs w:val="0"/>
        </w:rPr>
        <w:t>The vision for EIS is to help</w:t>
      </w:r>
      <w:r w:rsidRPr="00B57A93">
        <w:t xml:space="preserve"> </w:t>
      </w:r>
      <w:r w:rsidRPr="00B57A93">
        <w:rPr>
          <w:b w:val="0"/>
          <w:bCs w:val="0"/>
        </w:rPr>
        <w:t>Staffordshire’s economy grow, so that everyone has the opportunity of a good job and good prospects in a beautiful, safe, accessible, vibrant, cultural, prosperous, business friendly and sustainable county.</w:t>
      </w:r>
    </w:p>
    <w:p w14:paraId="5E741BBE" w14:textId="77777777" w:rsidR="00EF7CBE" w:rsidRPr="00B57A93" w:rsidRDefault="00EF7CBE" w:rsidP="00EF7CBE">
      <w:pPr>
        <w:pStyle w:val="Body-Bold"/>
        <w:jc w:val="both"/>
      </w:pPr>
      <w:r w:rsidRPr="00B57A93">
        <w:t>Service Purpose:</w:t>
      </w:r>
    </w:p>
    <w:p w14:paraId="275937BE" w14:textId="77777777" w:rsidR="00EF7CBE" w:rsidRPr="00647977" w:rsidRDefault="00EF7CBE" w:rsidP="00EF7CBE">
      <w:pPr>
        <w:pStyle w:val="Body-text"/>
        <w:jc w:val="both"/>
        <w:rPr>
          <w:b/>
          <w:bCs/>
        </w:rPr>
      </w:pPr>
      <w:r w:rsidRPr="00647977">
        <w:t>Skills &amp; Employability purpose is</w:t>
      </w:r>
      <w:r w:rsidRPr="00647977">
        <w:rPr>
          <w:bCs/>
        </w:rPr>
        <w:t xml:space="preserve"> to improve people’s lives through learning and training, leading to employment and/or increased personal fulfilment, supporting the growth of Staffordshire’s economy and society</w:t>
      </w:r>
      <w:r>
        <w:rPr>
          <w:bCs/>
        </w:rPr>
        <w:t>:</w:t>
      </w:r>
    </w:p>
    <w:p w14:paraId="24BC4732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Ensuring provision of a wide range of high</w:t>
      </w:r>
      <w:r>
        <w:t>-</w:t>
      </w:r>
      <w:r w:rsidRPr="00647977">
        <w:t>quality learning opportunities to reflect identified local needs and wishes of Staffordshire’s ‘16+’ residents, by enabling provider partnerships and through direct delivery.</w:t>
      </w:r>
    </w:p>
    <w:p w14:paraId="66041477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Providing support, with a focus on targeted groups, to improve participation in learning across Staffordshire.</w:t>
      </w:r>
    </w:p>
    <w:p w14:paraId="45920820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Ensuring provision of work-related experience and advice to increase the employability of targeted groups and/or individuals.</w:t>
      </w:r>
    </w:p>
    <w:p w14:paraId="0E4E86E0" w14:textId="77777777" w:rsidR="00EF7CBE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Working with providers and partners to ensure that Staffordshire’s social, employment and economic skills demands are met.</w:t>
      </w:r>
    </w:p>
    <w:p w14:paraId="5F3AF95D" w14:textId="7E7DC2D6" w:rsidR="002D413B" w:rsidRDefault="5DBED527" w:rsidP="00D81FE9">
      <w:pPr>
        <w:pStyle w:val="Body-text"/>
        <w:ind w:right="774"/>
        <w:rPr>
          <w:b/>
          <w:bCs/>
          <w:color w:val="000000" w:themeColor="text1"/>
        </w:rPr>
      </w:pPr>
      <w:r w:rsidRPr="0C09183C">
        <w:rPr>
          <w:b/>
          <w:bCs/>
          <w:color w:val="000000" w:themeColor="text1"/>
        </w:rPr>
        <w:t>About the Role</w:t>
      </w:r>
    </w:p>
    <w:p w14:paraId="5FA43B6E" w14:textId="65EDA9C3" w:rsidR="003707FB" w:rsidRDefault="003707FB" w:rsidP="00D81FE9">
      <w:pPr>
        <w:pStyle w:val="Body-Bold"/>
        <w:ind w:right="774"/>
        <w:rPr>
          <w:b w:val="0"/>
          <w:bCs w:val="0"/>
        </w:rPr>
      </w:pPr>
      <w:r w:rsidRPr="003707FB">
        <w:rPr>
          <w:b w:val="0"/>
          <w:bCs w:val="0"/>
        </w:rPr>
        <w:t xml:space="preserve">The Quality Assurance Manager will be required to work across the Employer Skills Service </w:t>
      </w:r>
      <w:r w:rsidR="00981351">
        <w:rPr>
          <w:b w:val="0"/>
          <w:bCs w:val="0"/>
        </w:rPr>
        <w:t xml:space="preserve">to </w:t>
      </w:r>
      <w:r w:rsidRPr="003707FB">
        <w:rPr>
          <w:b w:val="0"/>
          <w:bCs w:val="0"/>
        </w:rPr>
        <w:t xml:space="preserve">co-ordinate, develop and hold to account the quality assurance framework across the Employer Skills Service </w:t>
      </w:r>
      <w:r>
        <w:rPr>
          <w:b w:val="0"/>
          <w:bCs w:val="0"/>
        </w:rPr>
        <w:t xml:space="preserve">and the </w:t>
      </w:r>
      <w:r w:rsidRPr="003707FB">
        <w:rPr>
          <w:b w:val="0"/>
          <w:bCs w:val="0"/>
        </w:rPr>
        <w:t>wider commissioned services</w:t>
      </w:r>
      <w:r>
        <w:rPr>
          <w:b w:val="0"/>
          <w:bCs w:val="0"/>
        </w:rPr>
        <w:t xml:space="preserve"> </w:t>
      </w:r>
      <w:r w:rsidRPr="003707FB">
        <w:rPr>
          <w:b w:val="0"/>
          <w:bCs w:val="0"/>
        </w:rPr>
        <w:t>to improve the outcomes of candidates and businesses across Staffordshire.</w:t>
      </w:r>
    </w:p>
    <w:p w14:paraId="7DC31B14" w14:textId="64F1895B" w:rsidR="00B310C7" w:rsidRPr="00C0621D" w:rsidRDefault="00B310C7" w:rsidP="00B310C7">
      <w:pPr>
        <w:rPr>
          <w:rFonts w:ascii="Verdana" w:hAnsi="Verdana"/>
          <w:sz w:val="24"/>
          <w:szCs w:val="24"/>
        </w:rPr>
      </w:pPr>
      <w:r w:rsidRPr="00C0621D">
        <w:rPr>
          <w:rFonts w:ascii="Verdana" w:hAnsi="Verdana"/>
          <w:sz w:val="24"/>
          <w:szCs w:val="24"/>
        </w:rPr>
        <w:t>This role will be required to work with a variety of stakeholders and partners in supporting the Employer Skills Service to:</w:t>
      </w:r>
    </w:p>
    <w:p w14:paraId="40F2C819" w14:textId="212F59E0" w:rsidR="00B310C7" w:rsidRPr="00C0621D" w:rsidRDefault="00B310C7" w:rsidP="00B310C7">
      <w:pPr>
        <w:rPr>
          <w:rFonts w:ascii="Verdana" w:hAnsi="Verdana"/>
          <w:sz w:val="24"/>
          <w:szCs w:val="24"/>
        </w:rPr>
      </w:pPr>
      <w:r w:rsidRPr="00C0621D">
        <w:rPr>
          <w:rFonts w:ascii="Verdana" w:hAnsi="Verdana"/>
          <w:sz w:val="24"/>
          <w:szCs w:val="24"/>
        </w:rPr>
        <w:t xml:space="preserve">• understand the needs of Staffordshire jobseekers and businesses </w:t>
      </w:r>
    </w:p>
    <w:p w14:paraId="3CF34E69" w14:textId="77777777" w:rsidR="00B310C7" w:rsidRPr="00C0621D" w:rsidRDefault="00B310C7" w:rsidP="00B310C7">
      <w:pPr>
        <w:rPr>
          <w:rFonts w:ascii="Verdana" w:hAnsi="Verdana"/>
          <w:sz w:val="24"/>
          <w:szCs w:val="24"/>
        </w:rPr>
      </w:pPr>
      <w:r w:rsidRPr="00C0621D">
        <w:rPr>
          <w:rFonts w:ascii="Verdana" w:hAnsi="Verdana"/>
          <w:sz w:val="24"/>
          <w:szCs w:val="24"/>
        </w:rPr>
        <w:t xml:space="preserve">• translate those needs into definable </w:t>
      </w:r>
      <w:proofErr w:type="gramStart"/>
      <w:r w:rsidRPr="00C0621D">
        <w:rPr>
          <w:rFonts w:ascii="Verdana" w:hAnsi="Verdana"/>
          <w:sz w:val="24"/>
          <w:szCs w:val="24"/>
        </w:rPr>
        <w:t>outcomes;</w:t>
      </w:r>
      <w:proofErr w:type="gramEnd"/>
      <w:r w:rsidRPr="00C0621D">
        <w:rPr>
          <w:rFonts w:ascii="Verdana" w:hAnsi="Verdana"/>
          <w:sz w:val="24"/>
          <w:szCs w:val="24"/>
        </w:rPr>
        <w:t xml:space="preserve"> </w:t>
      </w:r>
    </w:p>
    <w:p w14:paraId="5D13D820" w14:textId="77777777" w:rsidR="00B310C7" w:rsidRPr="00C0621D" w:rsidRDefault="00B310C7" w:rsidP="00B310C7">
      <w:pPr>
        <w:rPr>
          <w:rFonts w:ascii="Verdana" w:hAnsi="Verdana"/>
          <w:sz w:val="24"/>
          <w:szCs w:val="24"/>
        </w:rPr>
      </w:pPr>
      <w:r w:rsidRPr="00C0621D">
        <w:rPr>
          <w:rFonts w:ascii="Verdana" w:hAnsi="Verdana"/>
          <w:sz w:val="24"/>
          <w:szCs w:val="24"/>
        </w:rPr>
        <w:t xml:space="preserve">• enable the delivery of outcomes within available resources to achieve best value for </w:t>
      </w:r>
      <w:proofErr w:type="gramStart"/>
      <w:r w:rsidRPr="00C0621D">
        <w:rPr>
          <w:rFonts w:ascii="Verdana" w:hAnsi="Verdana"/>
          <w:sz w:val="24"/>
          <w:szCs w:val="24"/>
        </w:rPr>
        <w:t>money;</w:t>
      </w:r>
      <w:proofErr w:type="gramEnd"/>
      <w:r w:rsidRPr="00C0621D">
        <w:rPr>
          <w:rFonts w:ascii="Verdana" w:hAnsi="Verdana"/>
          <w:sz w:val="24"/>
          <w:szCs w:val="24"/>
        </w:rPr>
        <w:t xml:space="preserve"> </w:t>
      </w:r>
    </w:p>
    <w:p w14:paraId="5D57367D" w14:textId="56721A7B" w:rsidR="00B310C7" w:rsidRPr="00C0621D" w:rsidRDefault="00B310C7" w:rsidP="00B310C7">
      <w:pPr>
        <w:rPr>
          <w:rFonts w:ascii="Verdana" w:hAnsi="Verdana"/>
          <w:sz w:val="24"/>
          <w:szCs w:val="24"/>
        </w:rPr>
      </w:pPr>
      <w:r w:rsidRPr="00C0621D">
        <w:rPr>
          <w:rFonts w:ascii="Verdana" w:hAnsi="Verdana"/>
          <w:sz w:val="24"/>
          <w:szCs w:val="24"/>
        </w:rPr>
        <w:lastRenderedPageBreak/>
        <w:t>• Manage the process and outcomes across the Employer Skills Service from a quality of practice perspective</w:t>
      </w:r>
    </w:p>
    <w:p w14:paraId="0C2B8CBE" w14:textId="515EEAFC" w:rsidR="00B310C7" w:rsidRPr="00B310C7" w:rsidRDefault="00B310C7" w:rsidP="00B310C7">
      <w:pPr>
        <w:rPr>
          <w:rFonts w:ascii="Verdana" w:hAnsi="Verdana"/>
          <w:sz w:val="24"/>
          <w:szCs w:val="24"/>
        </w:rPr>
      </w:pPr>
      <w:r w:rsidRPr="00C0621D">
        <w:rPr>
          <w:rFonts w:ascii="Verdana" w:hAnsi="Verdana"/>
          <w:sz w:val="24"/>
          <w:szCs w:val="24"/>
        </w:rPr>
        <w:t>• Create the methodology and tools for the completion of data collection both quantitative and qualitative across the Employer Skills Service.</w:t>
      </w:r>
      <w:r w:rsidRPr="00C0621D">
        <w:rPr>
          <w:rFonts w:ascii="Verdana" w:hAnsi="Verdana"/>
          <w:strike/>
          <w:sz w:val="24"/>
          <w:szCs w:val="24"/>
        </w:rPr>
        <w:t xml:space="preserve"> </w:t>
      </w:r>
    </w:p>
    <w:p w14:paraId="64E2AC89" w14:textId="77777777" w:rsidR="00B310C7" w:rsidRPr="00B310C7" w:rsidRDefault="00B310C7" w:rsidP="00B310C7">
      <w:pPr>
        <w:rPr>
          <w:rFonts w:ascii="Verdana" w:hAnsi="Verdana"/>
          <w:color w:val="FF0000"/>
          <w:sz w:val="24"/>
          <w:szCs w:val="24"/>
        </w:rPr>
      </w:pPr>
    </w:p>
    <w:p w14:paraId="1FC3286B" w14:textId="7ED58034" w:rsidR="00816AA1" w:rsidRPr="00816AA1" w:rsidRDefault="00816AA1" w:rsidP="00D81FE9">
      <w:pPr>
        <w:pStyle w:val="Body-Bold"/>
        <w:ind w:right="774"/>
      </w:pPr>
      <w:r w:rsidRPr="00816AA1">
        <w:t>Reporting Relationships</w:t>
      </w:r>
    </w:p>
    <w:p w14:paraId="3C61700C" w14:textId="412698E6" w:rsidR="00816AA1" w:rsidRDefault="00816AA1" w:rsidP="00D81FE9">
      <w:pPr>
        <w:pStyle w:val="Body-Bold"/>
        <w:ind w:right="774"/>
      </w:pPr>
      <w:r w:rsidRPr="00C0621D">
        <w:t xml:space="preserve">Responsible to: </w:t>
      </w:r>
      <w:r w:rsidR="00981351" w:rsidRPr="00C0621D">
        <w:rPr>
          <w:b w:val="0"/>
          <w:bCs w:val="0"/>
        </w:rPr>
        <w:t>Skills Strategy Programme Manager</w:t>
      </w:r>
      <w:r w:rsidR="00B310C7" w:rsidRPr="00C0621D">
        <w:rPr>
          <w:b w:val="0"/>
          <w:bCs w:val="0"/>
        </w:rPr>
        <w:t xml:space="preserve"> / Head of Employer Skills</w:t>
      </w:r>
      <w:r w:rsidR="00B310C7">
        <w:rPr>
          <w:b w:val="0"/>
          <w:bCs w:val="0"/>
        </w:rPr>
        <w:t xml:space="preserve"> </w:t>
      </w:r>
    </w:p>
    <w:p w14:paraId="4A748012" w14:textId="6BE11B34" w:rsidR="0C09183C" w:rsidRDefault="0C09183C" w:rsidP="00D81FE9">
      <w:pPr>
        <w:pStyle w:val="Body-Bold"/>
        <w:spacing w:line="240" w:lineRule="auto"/>
        <w:ind w:right="774"/>
      </w:pPr>
    </w:p>
    <w:p w14:paraId="0ADF243F" w14:textId="77777777" w:rsidR="0041456C" w:rsidRDefault="0041456C" w:rsidP="00D81FE9">
      <w:pPr>
        <w:pStyle w:val="Body-Bold"/>
        <w:spacing w:line="240" w:lineRule="auto"/>
        <w:ind w:right="774"/>
      </w:pPr>
      <w:r>
        <w:t xml:space="preserve">Key Accountabilities: </w:t>
      </w:r>
    </w:p>
    <w:p w14:paraId="2766AA42" w14:textId="131D36D5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1. Take a lead role in the management and development of the </w:t>
      </w:r>
      <w:bookmarkStart w:id="0" w:name="_Hlk173153837"/>
      <w:r w:rsidRPr="00981351">
        <w:rPr>
          <w:rFonts w:ascii="Verdana" w:hAnsi="Verdana"/>
          <w:sz w:val="24"/>
          <w:szCs w:val="24"/>
        </w:rPr>
        <w:t xml:space="preserve">Employer Skills </w:t>
      </w:r>
      <w:bookmarkEnd w:id="0"/>
      <w:r w:rsidRPr="00981351">
        <w:rPr>
          <w:rFonts w:ascii="Verdana" w:hAnsi="Verdana"/>
          <w:sz w:val="24"/>
          <w:szCs w:val="24"/>
        </w:rPr>
        <w:t>service</w:t>
      </w:r>
      <w:r>
        <w:rPr>
          <w:rFonts w:ascii="Verdana" w:hAnsi="Verdana"/>
          <w:sz w:val="24"/>
          <w:szCs w:val="24"/>
        </w:rPr>
        <w:t xml:space="preserve"> </w:t>
      </w:r>
      <w:r w:rsidRPr="00FE18D3">
        <w:rPr>
          <w:rFonts w:ascii="Verdana" w:hAnsi="Verdana"/>
          <w:sz w:val="24"/>
          <w:szCs w:val="24"/>
        </w:rPr>
        <w:t>Quality Assurance function</w:t>
      </w:r>
      <w:r w:rsidR="00985137">
        <w:rPr>
          <w:rFonts w:ascii="Verdana" w:hAnsi="Verdana"/>
          <w:sz w:val="24"/>
          <w:szCs w:val="24"/>
        </w:rPr>
        <w:t>.</w:t>
      </w:r>
    </w:p>
    <w:p w14:paraId="289E618C" w14:textId="62CD4279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2. Responsible for the development and implementation of a self-auditing programme that involves working across the </w:t>
      </w:r>
      <w:r w:rsidRPr="00981351">
        <w:rPr>
          <w:rFonts w:ascii="Verdana" w:hAnsi="Verdana"/>
          <w:sz w:val="24"/>
          <w:szCs w:val="24"/>
        </w:rPr>
        <w:t>Employer Skills service</w:t>
      </w:r>
      <w:r>
        <w:rPr>
          <w:rFonts w:ascii="Verdana" w:hAnsi="Verdana"/>
          <w:sz w:val="24"/>
          <w:szCs w:val="24"/>
        </w:rPr>
        <w:t xml:space="preserve"> </w:t>
      </w:r>
      <w:r w:rsidRPr="00FE18D3">
        <w:rPr>
          <w:rFonts w:ascii="Verdana" w:hAnsi="Verdana"/>
          <w:sz w:val="24"/>
          <w:szCs w:val="24"/>
        </w:rPr>
        <w:t>to prioritise, plan, analyse and report on practice, learning and analysis to inform practice improvement, quality of service and commissioning intentions</w:t>
      </w:r>
      <w:r w:rsidR="00985137">
        <w:rPr>
          <w:rFonts w:ascii="Verdana" w:hAnsi="Verdana"/>
          <w:sz w:val="24"/>
          <w:szCs w:val="24"/>
        </w:rPr>
        <w:t>.</w:t>
      </w:r>
    </w:p>
    <w:p w14:paraId="5F10FAD8" w14:textId="079E29A1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3. Responsible for the co-ordination of the </w:t>
      </w:r>
      <w:r w:rsidRPr="00981351">
        <w:rPr>
          <w:rFonts w:ascii="Verdana" w:hAnsi="Verdana"/>
          <w:sz w:val="24"/>
          <w:szCs w:val="24"/>
        </w:rPr>
        <w:t>Employer Skills service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FE18D3">
        <w:rPr>
          <w:rFonts w:ascii="Verdana" w:hAnsi="Verdana"/>
          <w:sz w:val="24"/>
          <w:szCs w:val="24"/>
        </w:rPr>
        <w:t>self-evaluation development and process to inform service priorities and the development of service delivery plans as part of the business planning cycle</w:t>
      </w:r>
      <w:r w:rsidR="002E794B">
        <w:rPr>
          <w:rFonts w:ascii="Verdana" w:hAnsi="Verdana"/>
          <w:sz w:val="24"/>
          <w:szCs w:val="24"/>
        </w:rPr>
        <w:t>.</w:t>
      </w:r>
    </w:p>
    <w:p w14:paraId="29741925" w14:textId="14A77D5A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4. </w:t>
      </w:r>
      <w:r>
        <w:rPr>
          <w:rFonts w:ascii="Verdana" w:hAnsi="Verdana"/>
          <w:sz w:val="24"/>
          <w:szCs w:val="24"/>
        </w:rPr>
        <w:t>E</w:t>
      </w:r>
      <w:r w:rsidRPr="00FE18D3">
        <w:rPr>
          <w:rFonts w:ascii="Verdana" w:hAnsi="Verdana"/>
          <w:sz w:val="24"/>
          <w:szCs w:val="24"/>
        </w:rPr>
        <w:t>mpower, support, guide, mentor and coach members of staff, to enable them to successfully implement and embed new initiatives particularly focusing upon quality of practice.</w:t>
      </w:r>
    </w:p>
    <w:p w14:paraId="65F570C3" w14:textId="7880B3B1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>5. Responsible for the co-ordination of the reflective learning from observed practice, audits, best practice, independent reviews, complaints and compliments, and case studies and produce</w:t>
      </w:r>
      <w:r>
        <w:rPr>
          <w:rFonts w:ascii="Verdana" w:hAnsi="Verdana"/>
          <w:sz w:val="24"/>
          <w:szCs w:val="24"/>
        </w:rPr>
        <w:t xml:space="preserve"> </w:t>
      </w:r>
      <w:r w:rsidRPr="00FE18D3">
        <w:rPr>
          <w:rFonts w:ascii="Verdana" w:hAnsi="Verdana"/>
          <w:sz w:val="24"/>
          <w:szCs w:val="24"/>
        </w:rPr>
        <w:t xml:space="preserve">reports to improve outcomes for </w:t>
      </w:r>
      <w:r w:rsidRPr="00981351">
        <w:rPr>
          <w:rFonts w:ascii="Verdana" w:hAnsi="Verdana"/>
          <w:sz w:val="24"/>
          <w:szCs w:val="24"/>
        </w:rPr>
        <w:t>candidates and businesses.</w:t>
      </w:r>
    </w:p>
    <w:p w14:paraId="13F3DE41" w14:textId="2F721ED0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6. Responsibility for the development and implementation of quality assurance standards, user friendly tools for monitoring those standards and sharing good practice that supports a reflective learning and learning environment across the </w:t>
      </w:r>
      <w:r>
        <w:rPr>
          <w:rFonts w:ascii="Verdana" w:hAnsi="Verdana"/>
          <w:sz w:val="24"/>
          <w:szCs w:val="24"/>
        </w:rPr>
        <w:t xml:space="preserve">Employer Skills </w:t>
      </w:r>
      <w:r w:rsidRPr="00981351">
        <w:rPr>
          <w:rFonts w:ascii="Verdana" w:hAnsi="Verdana"/>
          <w:sz w:val="24"/>
          <w:szCs w:val="24"/>
        </w:rPr>
        <w:t>service.</w:t>
      </w:r>
    </w:p>
    <w:p w14:paraId="0DA22F4B" w14:textId="59AFB8F6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lastRenderedPageBreak/>
        <w:t>7. Responsible for the co-ordination and development of the Quality Assurance Framework</w:t>
      </w:r>
      <w:r w:rsidR="002E794B">
        <w:rPr>
          <w:rFonts w:ascii="Verdana" w:hAnsi="Verdana"/>
          <w:sz w:val="24"/>
          <w:szCs w:val="24"/>
        </w:rPr>
        <w:t>.</w:t>
      </w:r>
      <w:r w:rsidRPr="00FE18D3">
        <w:rPr>
          <w:rFonts w:ascii="Verdana" w:hAnsi="Verdana"/>
          <w:sz w:val="24"/>
          <w:szCs w:val="24"/>
        </w:rPr>
        <w:t xml:space="preserve"> </w:t>
      </w:r>
    </w:p>
    <w:p w14:paraId="21FD1542" w14:textId="4557AD67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8. Support and co-ordinate preparation </w:t>
      </w:r>
      <w:r>
        <w:rPr>
          <w:rFonts w:ascii="Verdana" w:hAnsi="Verdana"/>
          <w:sz w:val="24"/>
          <w:szCs w:val="24"/>
        </w:rPr>
        <w:t xml:space="preserve">for </w:t>
      </w:r>
      <w:r w:rsidRPr="00981351">
        <w:rPr>
          <w:rFonts w:ascii="Verdana" w:hAnsi="Verdana"/>
          <w:sz w:val="24"/>
          <w:szCs w:val="24"/>
        </w:rPr>
        <w:t>a supported employment fidelity assessment and readiness to ensure processes are robust and quality assurance records and evidence are up to date</w:t>
      </w:r>
      <w:r w:rsidR="002E794B">
        <w:rPr>
          <w:rFonts w:ascii="Verdana" w:hAnsi="Verdana"/>
          <w:sz w:val="24"/>
          <w:szCs w:val="24"/>
        </w:rPr>
        <w:t>.</w:t>
      </w:r>
      <w:r w:rsidRPr="00FE18D3">
        <w:rPr>
          <w:rFonts w:ascii="Verdana" w:hAnsi="Verdana"/>
          <w:sz w:val="24"/>
          <w:szCs w:val="24"/>
        </w:rPr>
        <w:t xml:space="preserve"> </w:t>
      </w:r>
    </w:p>
    <w:p w14:paraId="0525439F" w14:textId="18F99B49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9. Responsible for the implementation of robust data quality mechanisms and recording standards across the </w:t>
      </w:r>
      <w:r>
        <w:rPr>
          <w:rFonts w:ascii="Verdana" w:hAnsi="Verdana"/>
          <w:sz w:val="24"/>
          <w:szCs w:val="24"/>
        </w:rPr>
        <w:t>Employer Skills service</w:t>
      </w:r>
      <w:r w:rsidRPr="00981351">
        <w:rPr>
          <w:rFonts w:ascii="Verdana" w:hAnsi="Verdana"/>
          <w:sz w:val="24"/>
          <w:szCs w:val="24"/>
        </w:rPr>
        <w:t xml:space="preserve"> </w:t>
      </w:r>
      <w:r w:rsidRPr="00FE18D3">
        <w:rPr>
          <w:rFonts w:ascii="Verdana" w:hAnsi="Verdana"/>
          <w:sz w:val="24"/>
          <w:szCs w:val="24"/>
        </w:rPr>
        <w:t xml:space="preserve">improve outcomes for </w:t>
      </w:r>
      <w:r w:rsidRPr="00981351">
        <w:rPr>
          <w:rFonts w:ascii="Verdana" w:hAnsi="Verdana"/>
          <w:sz w:val="24"/>
          <w:szCs w:val="24"/>
        </w:rPr>
        <w:t>candidates and businesses.</w:t>
      </w:r>
    </w:p>
    <w:p w14:paraId="019FD88C" w14:textId="4FA421CF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>10. Responsible for conducting complex analysis on priority areas identified through intelligence and priorities to produce reports that help the management and the system make evidence based decision to improve practice</w:t>
      </w:r>
      <w:r w:rsidR="002E794B">
        <w:rPr>
          <w:rFonts w:ascii="Verdana" w:hAnsi="Verdana"/>
          <w:sz w:val="24"/>
          <w:szCs w:val="24"/>
        </w:rPr>
        <w:t>.</w:t>
      </w:r>
    </w:p>
    <w:p w14:paraId="6C4325A9" w14:textId="149D87A7" w:rsidR="00981351" w:rsidRPr="00FE18D3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11. Using reflective learning from </w:t>
      </w:r>
      <w:r w:rsidRPr="00981351">
        <w:rPr>
          <w:rFonts w:ascii="Verdana" w:hAnsi="Verdana"/>
          <w:sz w:val="24"/>
          <w:szCs w:val="24"/>
        </w:rPr>
        <w:t>Fidelity assessments,</w:t>
      </w:r>
      <w:r w:rsidRPr="00FE18D3">
        <w:rPr>
          <w:rFonts w:ascii="Verdana" w:hAnsi="Verdana"/>
          <w:sz w:val="24"/>
          <w:szCs w:val="24"/>
        </w:rPr>
        <w:t xml:space="preserve"> reviews and audits to improve continuous practice, performance and commissioning outcomes</w:t>
      </w:r>
      <w:r>
        <w:rPr>
          <w:rFonts w:ascii="Verdana" w:hAnsi="Verdana"/>
          <w:sz w:val="24"/>
          <w:szCs w:val="24"/>
        </w:rPr>
        <w:t>.</w:t>
      </w:r>
    </w:p>
    <w:p w14:paraId="6708A414" w14:textId="65BE5DB3" w:rsidR="00981351" w:rsidRDefault="00981351" w:rsidP="00981351">
      <w:pPr>
        <w:rPr>
          <w:rFonts w:ascii="Verdana" w:hAnsi="Verdana"/>
          <w:sz w:val="24"/>
          <w:szCs w:val="24"/>
        </w:rPr>
      </w:pPr>
      <w:r w:rsidRPr="00FE18D3">
        <w:rPr>
          <w:rFonts w:ascii="Verdana" w:hAnsi="Verdana"/>
          <w:sz w:val="24"/>
          <w:szCs w:val="24"/>
        </w:rPr>
        <w:t xml:space="preserve">12. Engaging with </w:t>
      </w:r>
      <w:r>
        <w:rPr>
          <w:rFonts w:ascii="Verdana" w:hAnsi="Verdana"/>
          <w:sz w:val="24"/>
          <w:szCs w:val="24"/>
        </w:rPr>
        <w:t xml:space="preserve">Employer Skills service </w:t>
      </w:r>
      <w:r w:rsidRPr="00FE18D3">
        <w:rPr>
          <w:rFonts w:ascii="Verdana" w:hAnsi="Verdana"/>
          <w:sz w:val="24"/>
          <w:szCs w:val="24"/>
        </w:rPr>
        <w:t>stakeholders to support the implementation and ownership of performance and quality assurance framework to ensure an effective, efficient and consistent approach.</w:t>
      </w:r>
    </w:p>
    <w:p w14:paraId="4A7BF036" w14:textId="77777777" w:rsidR="0024355E" w:rsidRDefault="0024355E" w:rsidP="00D81FE9">
      <w:pPr>
        <w:ind w:right="774"/>
        <w:jc w:val="both"/>
        <w:rPr>
          <w:rFonts w:ascii="Verdana" w:eastAsia="Verdana" w:hAnsi="Verdana" w:cs="Verdana"/>
          <w:sz w:val="24"/>
          <w:szCs w:val="24"/>
        </w:rPr>
      </w:pPr>
    </w:p>
    <w:p w14:paraId="3AED7B58" w14:textId="36D2A7CB" w:rsidR="0041456C" w:rsidRPr="00CB325D" w:rsidRDefault="0041456C" w:rsidP="00D81FE9">
      <w:pPr>
        <w:ind w:right="774"/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22F841D2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1B18E59A"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Delivering energy conservation practices in line with the Council’s climate change strategy.</w:t>
      </w:r>
    </w:p>
    <w:p w14:paraId="48F5A1D4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7DC2EE3F" w:rsidR="0041456C" w:rsidRDefault="0041456C" w:rsidP="00393C93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D81FE9">
      <w:pPr>
        <w:pStyle w:val="Default"/>
        <w:ind w:right="774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225"/>
        <w:gridCol w:w="2161"/>
      </w:tblGrid>
      <w:tr w:rsidR="0041456C" w:rsidRPr="0041456C" w14:paraId="2B37F757" w14:textId="77777777" w:rsidTr="009445E2">
        <w:trPr>
          <w:trHeight w:val="1356"/>
          <w:jc w:val="center"/>
        </w:trPr>
        <w:tc>
          <w:tcPr>
            <w:tcW w:w="1275" w:type="dxa"/>
            <w:shd w:val="clear" w:color="auto" w:fill="FFFFFF"/>
          </w:tcPr>
          <w:p w14:paraId="57556026" w14:textId="46321113" w:rsidR="0041456C" w:rsidRPr="0041456C" w:rsidRDefault="0041456C" w:rsidP="00102B52">
            <w:pPr>
              <w:ind w:right="36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02B52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225" w:type="dxa"/>
            <w:shd w:val="clear" w:color="auto" w:fill="FFFFFF"/>
          </w:tcPr>
          <w:p w14:paraId="015675FD" w14:textId="77777777" w:rsidR="0041456C" w:rsidRPr="0041456C" w:rsidRDefault="0041456C" w:rsidP="00D81FE9">
            <w:pPr>
              <w:keepNext/>
              <w:spacing w:after="0" w:line="240" w:lineRule="auto"/>
              <w:ind w:right="774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2161" w:type="dxa"/>
            <w:shd w:val="clear" w:color="auto" w:fill="FFFFFF"/>
          </w:tcPr>
          <w:p w14:paraId="6CF918C4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9445E2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14:paraId="6C52F6E6" w14:textId="77777777" w:rsid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0E281360" w14:textId="77777777" w:rsidR="00F2526C" w:rsidRDefault="00F252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05D015DE" w14:textId="77777777" w:rsidR="00393C93" w:rsidRPr="00393C93" w:rsidRDefault="00393C93" w:rsidP="00393C93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Cs/>
                <w:sz w:val="24"/>
                <w:szCs w:val="24"/>
                <w:lang w:val="en-GB"/>
              </w:rPr>
            </w:pPr>
            <w:r w:rsidRPr="00393C93">
              <w:rPr>
                <w:rFonts w:ascii="Gill Sans MT" w:eastAsia="Gill Sans MT" w:hAnsi="Gill Sans MT" w:cs="Arial"/>
                <w:bCs/>
                <w:sz w:val="24"/>
                <w:szCs w:val="24"/>
                <w:lang w:val="en-GB"/>
              </w:rPr>
              <w:t xml:space="preserve">Educated to degree/HND standard or possessing an equivalent </w:t>
            </w:r>
          </w:p>
          <w:p w14:paraId="1AE3A617" w14:textId="77777777" w:rsidR="00393C93" w:rsidRPr="00393C93" w:rsidRDefault="00393C93" w:rsidP="00393C93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Cs/>
                <w:sz w:val="24"/>
                <w:szCs w:val="24"/>
                <w:lang w:val="en-GB"/>
              </w:rPr>
            </w:pPr>
            <w:r w:rsidRPr="00393C93">
              <w:rPr>
                <w:rFonts w:ascii="Gill Sans MT" w:eastAsia="Gill Sans MT" w:hAnsi="Gill Sans MT" w:cs="Arial"/>
                <w:bCs/>
                <w:sz w:val="24"/>
                <w:szCs w:val="24"/>
                <w:lang w:val="en-GB"/>
              </w:rPr>
              <w:t>professional qualification or equivalent by experience.</w:t>
            </w:r>
          </w:p>
          <w:p w14:paraId="5A8DAD89" w14:textId="77777777" w:rsidR="00F2526C" w:rsidRPr="0041456C" w:rsidRDefault="00F252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74AB4191" w14:textId="093A2651" w:rsidR="0041456C" w:rsidRPr="0041456C" w:rsidRDefault="0041456C" w:rsidP="00102B52">
            <w:pPr>
              <w:tabs>
                <w:tab w:val="left" w:pos="6403"/>
              </w:tabs>
              <w:autoSpaceDE w:val="0"/>
              <w:autoSpaceDN w:val="0"/>
              <w:adjustRightInd w:val="0"/>
              <w:spacing w:after="0" w:line="240" w:lineRule="auto"/>
              <w:ind w:right="774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2161" w:type="dxa"/>
          </w:tcPr>
          <w:p w14:paraId="68FF5ED8" w14:textId="77777777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3B2532E0" w14:textId="6817CAF4" w:rsidR="0041456C" w:rsidRPr="001E6664" w:rsidRDefault="009445E2" w:rsidP="00D81FE9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</w:t>
            </w:r>
          </w:p>
          <w:p w14:paraId="4FA5215D" w14:textId="4C114BCE" w:rsidR="009445E2" w:rsidRPr="0041456C" w:rsidRDefault="009445E2" w:rsidP="00D81FE9">
            <w:pPr>
              <w:ind w:right="774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ED0572">
        <w:trPr>
          <w:trHeight w:val="1692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225" w:type="dxa"/>
          </w:tcPr>
          <w:p w14:paraId="57609014" w14:textId="77777777" w:rsidR="0041456C" w:rsidRPr="00ED0572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ED0572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lastRenderedPageBreak/>
              <w:t>Knowledge and Experience</w:t>
            </w:r>
          </w:p>
          <w:p w14:paraId="625500FC" w14:textId="77777777" w:rsidR="0041456C" w:rsidRPr="00ED0572" w:rsidRDefault="0041456C" w:rsidP="00D81FE9">
            <w:pPr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Gill Sans MT" w:hAnsi="Gill Sans MT"/>
                <w:sz w:val="24"/>
                <w:szCs w:val="24"/>
              </w:rPr>
            </w:pPr>
          </w:p>
          <w:p w14:paraId="5F1F1142" w14:textId="06A9481A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Demonstrable performance/analysis management and data </w:t>
            </w:r>
          </w:p>
          <w:p w14:paraId="45E60245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quality systems</w:t>
            </w:r>
          </w:p>
          <w:p w14:paraId="23F1DD1F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• Extensive knowledge of a range of quality assurance tools</w:t>
            </w:r>
          </w:p>
          <w:p w14:paraId="10BCAFC1" w14:textId="3FD74466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Expert knowledge </w:t>
            </w:r>
            <w:r w:rsidR="00B53369">
              <w:rPr>
                <w:rFonts w:ascii="Gill Sans MT" w:hAnsi="Gill Sans MT"/>
                <w:sz w:val="24"/>
                <w:szCs w:val="24"/>
                <w:lang w:val="en-GB"/>
              </w:rPr>
              <w:t>i</w:t>
            </w: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n Quality assurance and performance intelligence</w:t>
            </w:r>
          </w:p>
          <w:p w14:paraId="31AF2926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including the Implementation of robust data quality mechanisms and </w:t>
            </w:r>
          </w:p>
          <w:p w14:paraId="27CA6CD3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recording standards across</w:t>
            </w:r>
          </w:p>
          <w:p w14:paraId="1BBDA236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Extensive knowledge of a range of performance management </w:t>
            </w:r>
          </w:p>
          <w:p w14:paraId="5504B700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assurance tools and techniques including qualitative and quantitative</w:t>
            </w:r>
          </w:p>
          <w:p w14:paraId="30ED5C7C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Experience of designing and using intelligence led reports that are </w:t>
            </w:r>
          </w:p>
          <w:p w14:paraId="1D01C097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lastRenderedPageBreak/>
              <w:t xml:space="preserve">accurate </w:t>
            </w:r>
          </w:p>
          <w:p w14:paraId="06B4D07C" w14:textId="777C058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• Experience of developing Quality Framework self-assessment document and processes</w:t>
            </w:r>
          </w:p>
          <w:p w14:paraId="61AEE2DC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Experience of being able to demonstrate and measure outcomes for </w:t>
            </w:r>
          </w:p>
          <w:p w14:paraId="0D420C82" w14:textId="65516814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candidates seeking employment and businesses seeking to fulfil recruitment needs.   </w:t>
            </w:r>
          </w:p>
          <w:p w14:paraId="5D556233" w14:textId="322BC0D0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• Experience of motivating/ mentoring staff or leading on performance, quality assurance and practice</w:t>
            </w:r>
          </w:p>
          <w:p w14:paraId="2FA51705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Responsible for the Production of performance management and </w:t>
            </w:r>
          </w:p>
          <w:p w14:paraId="6B70E225" w14:textId="0925B5B3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quality assurance reports across service areas </w:t>
            </w:r>
          </w:p>
          <w:p w14:paraId="64A0A2A5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• Experience of inspection and readiness</w:t>
            </w:r>
          </w:p>
          <w:p w14:paraId="018C81DE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Extensive knowledge on the auditing of quality of practice across in </w:t>
            </w:r>
          </w:p>
          <w:p w14:paraId="065EC0AC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house and commissioned services</w:t>
            </w:r>
          </w:p>
          <w:p w14:paraId="7C12419A" w14:textId="6DC6BF7D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Experience of the development of a </w:t>
            </w:r>
            <w:r w:rsidR="00ED0572" w:rsidRPr="00ED0572">
              <w:rPr>
                <w:rFonts w:ascii="Gill Sans MT" w:hAnsi="Gill Sans MT"/>
                <w:sz w:val="24"/>
                <w:szCs w:val="24"/>
                <w:lang w:val="en-GB"/>
              </w:rPr>
              <w:t>self-evaluation</w:t>
            </w: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 </w:t>
            </w:r>
          </w:p>
          <w:p w14:paraId="636BA258" w14:textId="06B8481B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Experience of managing and leading others through the quality of </w:t>
            </w:r>
          </w:p>
          <w:p w14:paraId="333FEC0D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practice function</w:t>
            </w:r>
          </w:p>
          <w:p w14:paraId="364F7FA5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• Experience of leading innovative change to improve service delivery</w:t>
            </w:r>
          </w:p>
          <w:p w14:paraId="22CDDCF3" w14:textId="48E442CA" w:rsidR="00B53369" w:rsidRPr="00393C93" w:rsidRDefault="00393C93" w:rsidP="00B5336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Experience of understanding reflective learning to feed into strategy to improve outcomes </w:t>
            </w:r>
            <w:r w:rsidR="00B53369">
              <w:rPr>
                <w:rFonts w:ascii="Gill Sans MT" w:hAnsi="Gill Sans MT"/>
                <w:sz w:val="24"/>
                <w:szCs w:val="24"/>
                <w:lang w:val="en-GB"/>
              </w:rPr>
              <w:t>across service areas</w:t>
            </w:r>
          </w:p>
          <w:p w14:paraId="4EA21E48" w14:textId="158C05CD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3C709F5A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Experience of Using reflective learning from inspections, reviews and </w:t>
            </w:r>
          </w:p>
          <w:p w14:paraId="479E0873" w14:textId="77E320C9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audits to improve continuous practice, performance and commissioning outcomes </w:t>
            </w:r>
          </w:p>
          <w:p w14:paraId="14B70BEE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• Experience of conducting complex analysis on priority areas identified </w:t>
            </w:r>
          </w:p>
          <w:p w14:paraId="4D516F5E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 xml:space="preserve">through intelligence and priorities to produce reports that help the </w:t>
            </w:r>
          </w:p>
          <w:p w14:paraId="482A550C" w14:textId="77777777" w:rsidR="00393C93" w:rsidRPr="00393C93" w:rsidRDefault="00393C93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393C93">
              <w:rPr>
                <w:rFonts w:ascii="Gill Sans MT" w:hAnsi="Gill Sans MT"/>
                <w:sz w:val="24"/>
                <w:szCs w:val="24"/>
                <w:lang w:val="en-GB"/>
              </w:rPr>
              <w:t>management and the system</w:t>
            </w:r>
          </w:p>
          <w:p w14:paraId="186B0F1C" w14:textId="77777777" w:rsidR="00F2526C" w:rsidRPr="00ED0572" w:rsidRDefault="00F2526C" w:rsidP="00393C93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61" w:type="dxa"/>
          </w:tcPr>
          <w:p w14:paraId="40E55F9B" w14:textId="77777777" w:rsid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46CC3853" w14:textId="77777777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D84CD0A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101236C" w14:textId="14D4A9DA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29332820" w14:textId="2ABABEFE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C7B6B3E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5E43B76C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372F81C" w14:textId="55CE168B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52119237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77021662" w14:textId="66E09DC6" w:rsidR="00ED057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AA71D85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68FAD708" w14:textId="0723274B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1521D382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7A182FD6" w14:textId="282456C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73B1199E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399D9097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0CF00E18" w14:textId="6CC0C10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71C14B4E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7059712D" w14:textId="5390B6CA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16FD773A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3257CFF9" w14:textId="1F72ED11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DD24A69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15043663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3914BFC5" w14:textId="14D39B94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C0DC434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8C22F02" w14:textId="77777777" w:rsidR="001E6664" w:rsidRDefault="001E666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672CDE59" w14:textId="3D9FDBDB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F5AE60E" w14:textId="0CEAD425" w:rsidR="00ED0572" w:rsidRPr="001E6664" w:rsidRDefault="00ED0572" w:rsidP="00ED0572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1BCD594" w14:textId="77777777" w:rsidR="001E6664" w:rsidRDefault="001E6664" w:rsidP="00ED0572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D388C3E" w14:textId="0C924063" w:rsidR="00ED0572" w:rsidRPr="001E6664" w:rsidRDefault="00ED0572" w:rsidP="00ED0572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CA525E2" w14:textId="77777777" w:rsidR="001E6664" w:rsidRDefault="001E6664" w:rsidP="00ED0572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D68E23E" w14:textId="245A70C6" w:rsidR="00ED0572" w:rsidRPr="001E6664" w:rsidRDefault="00ED0572" w:rsidP="00ED0572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73459890" w14:textId="18695648" w:rsidR="00ED0572" w:rsidRPr="0041456C" w:rsidRDefault="00ED0572" w:rsidP="00ED0572">
            <w:pPr>
              <w:ind w:right="774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9445E2">
        <w:trPr>
          <w:jc w:val="center"/>
        </w:trPr>
        <w:tc>
          <w:tcPr>
            <w:tcW w:w="1275" w:type="dxa"/>
          </w:tcPr>
          <w:p w14:paraId="61FDC749" w14:textId="77777777" w:rsid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32AFB475" w14:textId="77777777" w:rsidR="009445E2" w:rsidRPr="0041456C" w:rsidRDefault="009445E2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14:paraId="4462287E" w14:textId="77777777" w:rsid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1E6664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0CD8B0E4" w14:textId="77777777" w:rsidR="001E6664" w:rsidRPr="001E6664" w:rsidRDefault="001E6664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45597821" w14:textId="77777777" w:rsidR="00ED0572" w:rsidRPr="001E6664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 xml:space="preserve">• Ability to work within a political and partnership environment </w:t>
            </w:r>
          </w:p>
          <w:p w14:paraId="146260D5" w14:textId="77777777" w:rsidR="00ED0572" w:rsidRPr="001E6664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 xml:space="preserve">• Ability to undertake research, utilising appropriate methodologies to </w:t>
            </w:r>
          </w:p>
          <w:p w14:paraId="5EF3E6B3" w14:textId="117D831C" w:rsidR="00ED0572" w:rsidRPr="001E6664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 xml:space="preserve">collate, analyse, evaluate and present information to senior </w:t>
            </w:r>
            <w:r w:rsidR="00C55220" w:rsidRPr="001E6664">
              <w:rPr>
                <w:rFonts w:ascii="Gill Sans MT" w:hAnsi="Gill Sans MT"/>
                <w:sz w:val="24"/>
                <w:szCs w:val="24"/>
              </w:rPr>
              <w:t>management.</w:t>
            </w:r>
          </w:p>
          <w:p w14:paraId="4DE646A1" w14:textId="77777777" w:rsidR="00ED0572" w:rsidRPr="001E6664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 xml:space="preserve">• Excellent influencing skills in a partnership environment </w:t>
            </w:r>
          </w:p>
          <w:p w14:paraId="16307405" w14:textId="77777777" w:rsidR="00ED0572" w:rsidRPr="001E6664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>• Effective planning and project management skills.</w:t>
            </w:r>
          </w:p>
          <w:p w14:paraId="5BDF9C03" w14:textId="77777777" w:rsidR="00ED0572" w:rsidRPr="001E6664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 xml:space="preserve">• Able to demonstrate an ability to use resources flexibly and creatively </w:t>
            </w:r>
          </w:p>
          <w:p w14:paraId="2C7101C6" w14:textId="77777777" w:rsidR="00ED0572" w:rsidRPr="001E6664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>within partnership working</w:t>
            </w:r>
          </w:p>
          <w:p w14:paraId="065DC4E0" w14:textId="77777777" w:rsidR="00ED0572" w:rsidRDefault="00ED0572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>• Possess advanced analytical skills</w:t>
            </w:r>
          </w:p>
          <w:p w14:paraId="4F286363" w14:textId="77777777" w:rsidR="001E6664" w:rsidRDefault="001E6664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28E6E9B0" w14:textId="5FC195AC" w:rsidR="001E6664" w:rsidRPr="001E6664" w:rsidRDefault="001E6664" w:rsidP="001E6664">
            <w:pPr>
              <w:ind w:right="105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E6664">
              <w:rPr>
                <w:rFonts w:ascii="Gill Sans MT" w:hAnsi="Gill Sans MT"/>
                <w:sz w:val="24"/>
                <w:szCs w:val="24"/>
              </w:rPr>
              <w:t xml:space="preserve">This post is designated as a casual car </w:t>
            </w:r>
            <w:r w:rsidR="002E794B" w:rsidRPr="001E6664">
              <w:rPr>
                <w:rFonts w:ascii="Gill Sans MT" w:hAnsi="Gill Sans MT"/>
                <w:sz w:val="24"/>
                <w:szCs w:val="24"/>
              </w:rPr>
              <w:t>user.</w:t>
            </w:r>
            <w:r w:rsidRPr="001E666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67906105" w14:textId="77777777" w:rsidR="001E6664" w:rsidRPr="001E6664" w:rsidRDefault="001E6664" w:rsidP="00ED057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0EFD44B0" w14:textId="77777777" w:rsidR="00F2526C" w:rsidRPr="0041456C" w:rsidRDefault="00F2526C" w:rsidP="00ED057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61" w:type="dxa"/>
          </w:tcPr>
          <w:p w14:paraId="48F4025E" w14:textId="02EEA7D5" w:rsidR="0041456C" w:rsidRPr="001E6664" w:rsidRDefault="0041456C" w:rsidP="00D81FE9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2716B83E" w14:textId="02F7270F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8D5013C" w14:textId="06B86679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1BB99A5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6E9E556E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0CCE4D75" w14:textId="750226FB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0E9C0286" w14:textId="1B6533A9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29CBA14" w14:textId="414B4036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7CCA8274" w14:textId="77777777" w:rsidR="00ED0572" w:rsidRPr="001E666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F428DC6" w14:textId="4B404CAE" w:rsidR="009445E2" w:rsidRPr="001E666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1E666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41C6BA5A" w14:textId="77777777" w:rsidR="0041456C" w:rsidRPr="001E6664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</w:p>
        </w:tc>
      </w:tr>
    </w:tbl>
    <w:p w14:paraId="66A26FF5" w14:textId="77777777" w:rsidR="0041456C" w:rsidRDefault="0041456C" w:rsidP="00D81FE9">
      <w:pPr>
        <w:ind w:right="774"/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D81FE9">
      <w:pPr>
        <w:ind w:right="774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3D77C7DB" w:rsidSect="003E41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9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99D27" w14:textId="77777777" w:rsidR="003E411F" w:rsidRDefault="003E411F" w:rsidP="003E7AA3">
      <w:pPr>
        <w:spacing w:after="0" w:line="240" w:lineRule="auto"/>
      </w:pPr>
      <w:r>
        <w:separator/>
      </w:r>
    </w:p>
  </w:endnote>
  <w:endnote w:type="continuationSeparator" w:id="0">
    <w:p w14:paraId="18E22524" w14:textId="77777777" w:rsidR="003E411F" w:rsidRDefault="003E411F" w:rsidP="003E7AA3">
      <w:pPr>
        <w:spacing w:after="0" w:line="240" w:lineRule="auto"/>
      </w:pPr>
      <w:r>
        <w:continuationSeparator/>
      </w:r>
    </w:p>
  </w:endnote>
  <w:endnote w:type="continuationNotice" w:id="1">
    <w:p w14:paraId="3BCB6B3F" w14:textId="77777777" w:rsidR="003E411F" w:rsidRDefault="003E4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91E6C" w14:textId="77777777" w:rsidR="002E331B" w:rsidRDefault="002E3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51719A25" w14:paraId="5E54DB41" w14:textId="77777777" w:rsidTr="51719A25">
      <w:trPr>
        <w:trHeight w:val="300"/>
      </w:trPr>
      <w:tc>
        <w:tcPr>
          <w:tcW w:w="3280" w:type="dxa"/>
        </w:tcPr>
        <w:p w14:paraId="7F355AA6" w14:textId="1AE07277" w:rsidR="51719A25" w:rsidRDefault="51719A25" w:rsidP="51719A25">
          <w:pPr>
            <w:pStyle w:val="Header"/>
            <w:ind w:left="-115"/>
          </w:pPr>
        </w:p>
      </w:tc>
      <w:tc>
        <w:tcPr>
          <w:tcW w:w="3280" w:type="dxa"/>
        </w:tcPr>
        <w:p w14:paraId="0149D654" w14:textId="76D1DF8B" w:rsidR="51719A25" w:rsidRDefault="51719A25" w:rsidP="51719A25">
          <w:pPr>
            <w:pStyle w:val="Header"/>
            <w:jc w:val="center"/>
          </w:pPr>
        </w:p>
      </w:tc>
      <w:tc>
        <w:tcPr>
          <w:tcW w:w="3280" w:type="dxa"/>
        </w:tcPr>
        <w:p w14:paraId="5056E20E" w14:textId="79BFA313" w:rsidR="51719A25" w:rsidRDefault="51719A25" w:rsidP="51719A25">
          <w:pPr>
            <w:pStyle w:val="Header"/>
            <w:ind w:right="-115"/>
            <w:jc w:val="right"/>
          </w:pPr>
        </w:p>
      </w:tc>
    </w:tr>
  </w:tbl>
  <w:p w14:paraId="63554D31" w14:textId="4C19BC5A" w:rsidR="51719A25" w:rsidRDefault="51719A25" w:rsidP="51719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17F11" w14:textId="77777777" w:rsidR="002E331B" w:rsidRDefault="002E3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DC1B" w14:textId="77777777" w:rsidR="003E411F" w:rsidRDefault="003E411F" w:rsidP="003E7AA3">
      <w:pPr>
        <w:spacing w:after="0" w:line="240" w:lineRule="auto"/>
      </w:pPr>
      <w:r>
        <w:separator/>
      </w:r>
    </w:p>
  </w:footnote>
  <w:footnote w:type="continuationSeparator" w:id="0">
    <w:p w14:paraId="6877FF4E" w14:textId="77777777" w:rsidR="003E411F" w:rsidRDefault="003E411F" w:rsidP="003E7AA3">
      <w:pPr>
        <w:spacing w:after="0" w:line="240" w:lineRule="auto"/>
      </w:pPr>
      <w:r>
        <w:continuationSeparator/>
      </w:r>
    </w:p>
  </w:footnote>
  <w:footnote w:type="continuationNotice" w:id="1">
    <w:p w14:paraId="7ACDB126" w14:textId="77777777" w:rsidR="003E411F" w:rsidRDefault="003E4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5D642" w14:textId="77777777" w:rsidR="002E331B" w:rsidRDefault="002E3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68CDA41D" w:rsidR="0041456C" w:rsidRDefault="002E331B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600E7C74">
              <wp:simplePos x="0" y="0"/>
              <wp:positionH relativeFrom="column">
                <wp:posOffset>3185160</wp:posOffset>
              </wp:positionH>
              <wp:positionV relativeFrom="paragraph">
                <wp:posOffset>47625</wp:posOffset>
              </wp:positionV>
              <wp:extent cx="2837180" cy="685800"/>
              <wp:effectExtent l="0" t="0" r="127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570D82BF" w:rsidR="0041456C" w:rsidRPr="00EE50CC" w:rsidRDefault="002E331B" w:rsidP="002E331B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Economy, Infrastructure and Skills, Skills and Employability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8pt;margin-top:3.75pt;width:223.4pt;height:5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" filled="f" stroked="f">
              <v:textbox inset="0,0,0,0">
                <w:txbxContent>
                  <w:p w14:paraId="1663A4A4" w14:textId="570D82BF" w:rsidR="0041456C" w:rsidRPr="00EE50CC" w:rsidRDefault="002E331B" w:rsidP="002E331B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Economy, Infrastructure and Skills, Skills and Employability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6E669DE3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FEA7D" w14:textId="77777777" w:rsidR="002E331B" w:rsidRDefault="002E3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0ED3"/>
    <w:multiLevelType w:val="hybridMultilevel"/>
    <w:tmpl w:val="D98E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4"/>
  </w:num>
  <w:num w:numId="5" w16cid:durableId="1964458954">
    <w:abstractNumId w:val="3"/>
  </w:num>
  <w:num w:numId="6" w16cid:durableId="1504541025">
    <w:abstractNumId w:val="13"/>
  </w:num>
  <w:num w:numId="7" w16cid:durableId="1903982057">
    <w:abstractNumId w:val="11"/>
  </w:num>
  <w:num w:numId="8" w16cid:durableId="280694580">
    <w:abstractNumId w:val="15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2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8"/>
  </w:num>
  <w:num w:numId="16" w16cid:durableId="1099839673">
    <w:abstractNumId w:val="10"/>
  </w:num>
  <w:num w:numId="17" w16cid:durableId="184635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5426"/>
    <w:rsid w:val="000217D1"/>
    <w:rsid w:val="0004578C"/>
    <w:rsid w:val="0006086B"/>
    <w:rsid w:val="000B2785"/>
    <w:rsid w:val="000F4C42"/>
    <w:rsid w:val="000F5850"/>
    <w:rsid w:val="00102B52"/>
    <w:rsid w:val="00111741"/>
    <w:rsid w:val="00116C60"/>
    <w:rsid w:val="00133F23"/>
    <w:rsid w:val="00141D89"/>
    <w:rsid w:val="00161FE8"/>
    <w:rsid w:val="001661A9"/>
    <w:rsid w:val="001667C8"/>
    <w:rsid w:val="001A15EA"/>
    <w:rsid w:val="001A798B"/>
    <w:rsid w:val="001E5EB1"/>
    <w:rsid w:val="001E6664"/>
    <w:rsid w:val="001F3113"/>
    <w:rsid w:val="0020240C"/>
    <w:rsid w:val="00213480"/>
    <w:rsid w:val="002141BE"/>
    <w:rsid w:val="0024355E"/>
    <w:rsid w:val="0024586E"/>
    <w:rsid w:val="00261654"/>
    <w:rsid w:val="00265281"/>
    <w:rsid w:val="002B4738"/>
    <w:rsid w:val="002D237E"/>
    <w:rsid w:val="002D413B"/>
    <w:rsid w:val="002E331B"/>
    <w:rsid w:val="002E794B"/>
    <w:rsid w:val="002F6DE8"/>
    <w:rsid w:val="00307B04"/>
    <w:rsid w:val="003103A6"/>
    <w:rsid w:val="00316CA7"/>
    <w:rsid w:val="00337ED7"/>
    <w:rsid w:val="00366F6C"/>
    <w:rsid w:val="003707FB"/>
    <w:rsid w:val="003739AB"/>
    <w:rsid w:val="00393C93"/>
    <w:rsid w:val="003E411F"/>
    <w:rsid w:val="003E7AA3"/>
    <w:rsid w:val="003F50AB"/>
    <w:rsid w:val="0041456C"/>
    <w:rsid w:val="00427864"/>
    <w:rsid w:val="00465664"/>
    <w:rsid w:val="004C58E3"/>
    <w:rsid w:val="004E2C1E"/>
    <w:rsid w:val="0051742B"/>
    <w:rsid w:val="005230D6"/>
    <w:rsid w:val="00523813"/>
    <w:rsid w:val="00535B0F"/>
    <w:rsid w:val="005740B1"/>
    <w:rsid w:val="00577B86"/>
    <w:rsid w:val="005D467F"/>
    <w:rsid w:val="00636F40"/>
    <w:rsid w:val="006506CE"/>
    <w:rsid w:val="00671CC9"/>
    <w:rsid w:val="006A5323"/>
    <w:rsid w:val="006D5C09"/>
    <w:rsid w:val="006D73D7"/>
    <w:rsid w:val="0070227B"/>
    <w:rsid w:val="00770B6C"/>
    <w:rsid w:val="007779CC"/>
    <w:rsid w:val="00792EE5"/>
    <w:rsid w:val="00797BFE"/>
    <w:rsid w:val="007A6708"/>
    <w:rsid w:val="007B2A58"/>
    <w:rsid w:val="007D4AC5"/>
    <w:rsid w:val="0080309F"/>
    <w:rsid w:val="00816AA1"/>
    <w:rsid w:val="008302B6"/>
    <w:rsid w:val="00841A14"/>
    <w:rsid w:val="00872B70"/>
    <w:rsid w:val="008B4F3B"/>
    <w:rsid w:val="008E17A6"/>
    <w:rsid w:val="0094343E"/>
    <w:rsid w:val="009445E2"/>
    <w:rsid w:val="009446C3"/>
    <w:rsid w:val="0096580A"/>
    <w:rsid w:val="0097248E"/>
    <w:rsid w:val="00977EA1"/>
    <w:rsid w:val="00981351"/>
    <w:rsid w:val="0098215C"/>
    <w:rsid w:val="00985137"/>
    <w:rsid w:val="0099470D"/>
    <w:rsid w:val="009D51A0"/>
    <w:rsid w:val="00A0516C"/>
    <w:rsid w:val="00A26844"/>
    <w:rsid w:val="00A34FE9"/>
    <w:rsid w:val="00A645DA"/>
    <w:rsid w:val="00A733B1"/>
    <w:rsid w:val="00A761DD"/>
    <w:rsid w:val="00AD6686"/>
    <w:rsid w:val="00B016D0"/>
    <w:rsid w:val="00B310C7"/>
    <w:rsid w:val="00B53369"/>
    <w:rsid w:val="00B9509B"/>
    <w:rsid w:val="00BB233B"/>
    <w:rsid w:val="00C003AD"/>
    <w:rsid w:val="00C055B5"/>
    <w:rsid w:val="00C0621D"/>
    <w:rsid w:val="00C062D9"/>
    <w:rsid w:val="00C20BE9"/>
    <w:rsid w:val="00C302E9"/>
    <w:rsid w:val="00C55220"/>
    <w:rsid w:val="00C86E78"/>
    <w:rsid w:val="00CA45C1"/>
    <w:rsid w:val="00CD038B"/>
    <w:rsid w:val="00CD42CF"/>
    <w:rsid w:val="00CE59FD"/>
    <w:rsid w:val="00CE77D4"/>
    <w:rsid w:val="00CF33CD"/>
    <w:rsid w:val="00D01CE1"/>
    <w:rsid w:val="00D05DC9"/>
    <w:rsid w:val="00D15F01"/>
    <w:rsid w:val="00D570E7"/>
    <w:rsid w:val="00D74D0E"/>
    <w:rsid w:val="00D81FE9"/>
    <w:rsid w:val="00DB70A1"/>
    <w:rsid w:val="00DF0A92"/>
    <w:rsid w:val="00E26234"/>
    <w:rsid w:val="00E45D20"/>
    <w:rsid w:val="00E6698E"/>
    <w:rsid w:val="00E96AE3"/>
    <w:rsid w:val="00EA422D"/>
    <w:rsid w:val="00EC0C4E"/>
    <w:rsid w:val="00ED0572"/>
    <w:rsid w:val="00EE50CC"/>
    <w:rsid w:val="00EF7CBE"/>
    <w:rsid w:val="00F231B9"/>
    <w:rsid w:val="00F2526C"/>
    <w:rsid w:val="00F37C8B"/>
    <w:rsid w:val="00F72F3D"/>
    <w:rsid w:val="00FC632D"/>
    <w:rsid w:val="00FD1269"/>
    <w:rsid w:val="00FD1AB5"/>
    <w:rsid w:val="00FE28F9"/>
    <w:rsid w:val="00FE537E"/>
    <w:rsid w:val="02970591"/>
    <w:rsid w:val="0306DE1A"/>
    <w:rsid w:val="044317F1"/>
    <w:rsid w:val="065245B9"/>
    <w:rsid w:val="071A9307"/>
    <w:rsid w:val="0739E74C"/>
    <w:rsid w:val="074D8873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BEECC2"/>
    <w:rsid w:val="16D522D8"/>
    <w:rsid w:val="1777271E"/>
    <w:rsid w:val="18B353DE"/>
    <w:rsid w:val="1A77C79F"/>
    <w:rsid w:val="1A9D47F1"/>
    <w:rsid w:val="1B18E59A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0E9867A"/>
    <w:rsid w:val="31DBF012"/>
    <w:rsid w:val="321B146D"/>
    <w:rsid w:val="3337517E"/>
    <w:rsid w:val="33A258BD"/>
    <w:rsid w:val="37703F25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1D18CB4"/>
    <w:rsid w:val="42016823"/>
    <w:rsid w:val="42A142D7"/>
    <w:rsid w:val="42CF5254"/>
    <w:rsid w:val="42D55839"/>
    <w:rsid w:val="439E65D0"/>
    <w:rsid w:val="44199DF5"/>
    <w:rsid w:val="45275101"/>
    <w:rsid w:val="471ABCEB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1719A25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0AFC1D8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D73D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F7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FA3B23A503449D82C6F65CE84725" ma:contentTypeVersion="16" ma:contentTypeDescription="Create a new document." ma:contentTypeScope="" ma:versionID="fdf83c04133cea8bd2860c02a7f9a020">
  <xsd:schema xmlns:xsd="http://www.w3.org/2001/XMLSchema" xmlns:xs="http://www.w3.org/2001/XMLSchema" xmlns:p="http://schemas.microsoft.com/office/2006/metadata/properties" xmlns:ns2="e36ac0d8-0ce4-4c9f-9579-b17c429e3eca" xmlns:ns3="43828c35-33d1-4860-b980-90cdafbcd229" targetNamespace="http://schemas.microsoft.com/office/2006/metadata/properties" ma:root="true" ma:fieldsID="77bb04e7ede8eb1c8b05085b0dc8ba39" ns2:_="" ns3:_="">
    <xsd:import namespace="e36ac0d8-0ce4-4c9f-9579-b17c429e3eca"/>
    <xsd:import namespace="43828c35-33d1-4860-b980-90cdafbcd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c0d8-0ce4-4c9f-9579-b17c429e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8c35-33d1-4860-b980-90cdafbcd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bb17a01-3a34-494f-bd65-d41aee6a7886}" ma:internalName="TaxCatchAll" ma:showField="CatchAllData" ma:web="43828c35-33d1-4860-b980-90cdafbcd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c0d8-0ce4-4c9f-9579-b17c429e3eca">
      <Terms xmlns="http://schemas.microsoft.com/office/infopath/2007/PartnerControls"/>
    </lcf76f155ced4ddcb4097134ff3c332f>
    <TaxCatchAll xmlns="43828c35-33d1-4860-b980-90cdafbcd2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407A0-40CD-499A-A2D5-6D548E880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c0d8-0ce4-4c9f-9579-b17c429e3eca"/>
    <ds:schemaRef ds:uri="43828c35-33d1-4860-b980-90cdafbcd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19b95a3-ce3a-49f0-a34c-ab50080338be"/>
    <ds:schemaRef ds:uri="f809f247-91c8-4c12-bf0c-0ad48c29d5e9"/>
    <ds:schemaRef ds:uri="http://purl.org/dc/elements/1.1/"/>
    <ds:schemaRef ds:uri="e36ac0d8-0ce4-4c9f-9579-b17c429e3eca"/>
    <ds:schemaRef ds:uri="43828c35-33d1-4860-b980-90cdafbcd229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Poole, David (E,I&amp;S)</cp:lastModifiedBy>
  <cp:revision>3</cp:revision>
  <dcterms:created xsi:type="dcterms:W3CDTF">2024-07-29T13:01:00Z</dcterms:created>
  <dcterms:modified xsi:type="dcterms:W3CDTF">2024-07-29T14:07:00Z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0x0101000519C996347E4A4B87C7BAB1C9AEFB5C</vt:lpwstr>
  </property>
  <property fmtid="{D5CDD505-2E9C-101B-9397-08002B2CF9AE}" pid="3" name="Order">
    <vt:r8>100</vt:r8>
  </property>
</Properties>
</file>